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F7867" w:rsidRDefault="00BE1CCD">
      <w:pPr>
        <w:rPr>
          <w:szCs w:val="24"/>
        </w:rPr>
      </w:pPr>
      <w:r>
        <w:rPr>
          <w:szCs w:val="24"/>
        </w:rPr>
        <w:t xml:space="preserve">2025 PIT and HIC summary </w:t>
      </w:r>
    </w:p>
    <w:p w:rsidR="00BE1CCD" w:rsidRDefault="00BE1CCD">
      <w:pPr>
        <w:rPr>
          <w:szCs w:val="24"/>
        </w:rPr>
      </w:pPr>
    </w:p>
    <w:p w:rsidR="00BE1CCD" w:rsidRDefault="00BE1CCD">
      <w:pPr>
        <w:rPr>
          <w:szCs w:val="24"/>
        </w:rPr>
      </w:pPr>
      <w:r>
        <w:rPr>
          <w:szCs w:val="24"/>
        </w:rPr>
        <w:t>For PIT Reporting, HUD breaks out the numbers according to three types of households: 1)Households with at least one Adult and at least one child (more commonly known as “Families”)</w:t>
      </w:r>
    </w:p>
    <w:p w:rsidR="00BE1CCD" w:rsidRDefault="00BE1CCD">
      <w:pPr>
        <w:rPr>
          <w:szCs w:val="24"/>
        </w:rPr>
      </w:pPr>
      <w:r>
        <w:rPr>
          <w:szCs w:val="24"/>
        </w:rPr>
        <w:t>2)Households with Only Adults – typically a single adult individual, but occasionally an adult couple with no children</w:t>
      </w:r>
    </w:p>
    <w:p w:rsidR="00AC0C47" w:rsidRDefault="00BE1CCD">
      <w:pPr>
        <w:rPr>
          <w:szCs w:val="24"/>
        </w:rPr>
      </w:pPr>
      <w:r>
        <w:rPr>
          <w:szCs w:val="24"/>
        </w:rPr>
        <w:t xml:space="preserve">3)Households with Only Children </w:t>
      </w:r>
      <w:r w:rsidR="00AC0C47">
        <w:rPr>
          <w:szCs w:val="24"/>
        </w:rPr>
        <w:t>–</w:t>
      </w:r>
      <w:r>
        <w:rPr>
          <w:szCs w:val="24"/>
        </w:rPr>
        <w:t xml:space="preserve"> </w:t>
      </w:r>
      <w:r w:rsidR="00AC0C47">
        <w:rPr>
          <w:szCs w:val="24"/>
        </w:rPr>
        <w:t>and for HUD this means only children under 18 years old with no Adults. We have a number of projects that work with ‘Youth’ – ages 18 to 24, which may include Parenting Youth – but those households would be subsets of the other categories.</w:t>
      </w:r>
    </w:p>
    <w:p w:rsidR="00AC0C47" w:rsidRDefault="00AC0C47">
      <w:pPr>
        <w:rPr>
          <w:szCs w:val="24"/>
        </w:rPr>
      </w:pPr>
    </w:p>
    <w:p w:rsidR="00C168B3" w:rsidRDefault="00AC0C47">
      <w:pPr>
        <w:rPr>
          <w:szCs w:val="24"/>
        </w:rPr>
      </w:pPr>
      <w:r>
        <w:rPr>
          <w:szCs w:val="24"/>
        </w:rPr>
        <w:t>In 2025, we had 125 ‘families’ made up of 397 people in Emergency Shelter, 116 families of 393 people in Transitional Housing, and only 1 family of 3 reported as unsheltered on the night of the point-in-time. We also had 1 unsheltered family of 3 in 2024 (not the same family), but the Shelter and Transitional numbers were both lower in 2025 than the year before. For Shelters, we had 74 fewer families (222 fewer people), and for TH we had 27 fewer families (139 fewer people)</w:t>
      </w:r>
      <w:r w:rsidR="00C168B3">
        <w:rPr>
          <w:szCs w:val="24"/>
        </w:rPr>
        <w:t>. Overall, that is a 29% decrease in the number of families, and a 31% decrease in the total number of people in families.</w:t>
      </w:r>
    </w:p>
    <w:p w:rsidR="00C168B3" w:rsidRDefault="00C168B3">
      <w:pPr>
        <w:rPr>
          <w:szCs w:val="24"/>
        </w:rPr>
      </w:pPr>
    </w:p>
    <w:p w:rsidR="00BE1CCD" w:rsidRDefault="00C168B3">
      <w:pPr>
        <w:rPr>
          <w:szCs w:val="24"/>
        </w:rPr>
      </w:pPr>
      <w:r>
        <w:rPr>
          <w:szCs w:val="24"/>
        </w:rPr>
        <w:t>For Adult only households, our Emergency Shelter number was up slightly in 2025, with 1,101 individuals in Emergency Shelter compared to 1,038 in 2024 – an increase of 63 people. For Transitional Housing, the 2025 total was 192 individuals, down by 1 from 2024, and our unsheltered count for individuals in 2025 was 278 – up by just 8 individuals compared to the 2024 count.</w:t>
      </w:r>
    </w:p>
    <w:p w:rsidR="00C168B3" w:rsidRDefault="00C168B3">
      <w:pPr>
        <w:rPr>
          <w:szCs w:val="24"/>
        </w:rPr>
      </w:pPr>
    </w:p>
    <w:p w:rsidR="000C76CF" w:rsidRDefault="000C76CF">
      <w:pPr>
        <w:rPr>
          <w:szCs w:val="24"/>
        </w:rPr>
      </w:pPr>
      <w:r>
        <w:rPr>
          <w:szCs w:val="24"/>
        </w:rPr>
        <w:t>For Households with only Children (under 18 years only) we had 18 children in Emergency Shelters, up by 4 from 2024, and 16 Children in Transitional Housing, up by 9 from 2024. No unaccompanied children under 18 were identified as unsheltered in either 2024 or 2025.</w:t>
      </w:r>
    </w:p>
    <w:p w:rsidR="000C76CF" w:rsidRDefault="000C76CF" w:rsidP="000C76CF">
      <w:pPr>
        <w:rPr>
          <w:szCs w:val="24"/>
        </w:rPr>
      </w:pPr>
    </w:p>
    <w:p w:rsidR="00C168B3" w:rsidRDefault="000C76CF" w:rsidP="000C76CF">
      <w:pPr>
        <w:rPr>
          <w:szCs w:val="24"/>
        </w:rPr>
      </w:pPr>
      <w:r>
        <w:rPr>
          <w:szCs w:val="24"/>
        </w:rPr>
        <w:t xml:space="preserve">Our Chronically Homeless number in Emergency Shelters went up – from 411 in 2024 to 454 in 2025 – an increase of 43 people. Our Unsheltered Chronically Homeless number appears to have dropped dramatically from 70 in 2024 to just 5 in 2025. We are looking into if that might have been an issue with how the data was recorded or tabulated in the system. </w:t>
      </w:r>
    </w:p>
    <w:p w:rsidR="000C76CF" w:rsidRDefault="000C76CF" w:rsidP="000C76CF">
      <w:pPr>
        <w:rPr>
          <w:szCs w:val="24"/>
        </w:rPr>
      </w:pPr>
    </w:p>
    <w:p w:rsidR="000C76CF" w:rsidRDefault="000C76CF" w:rsidP="000C76CF">
      <w:pPr>
        <w:rPr>
          <w:szCs w:val="24"/>
        </w:rPr>
      </w:pPr>
      <w:r>
        <w:rPr>
          <w:szCs w:val="24"/>
        </w:rPr>
        <w:t xml:space="preserve">The </w:t>
      </w:r>
      <w:r w:rsidR="00D22015">
        <w:rPr>
          <w:szCs w:val="24"/>
        </w:rPr>
        <w:t xml:space="preserve">overall </w:t>
      </w:r>
      <w:r>
        <w:rPr>
          <w:szCs w:val="24"/>
        </w:rPr>
        <w:t xml:space="preserve">number of unaccompanied </w:t>
      </w:r>
      <w:r w:rsidR="00D22015">
        <w:rPr>
          <w:szCs w:val="24"/>
        </w:rPr>
        <w:t xml:space="preserve">children under 18 years old was up by 7 – from 21 in 2024 to 28 in 2025, but the number in shelter was down by 2, so the increase was for those in Transitional Housing. For unaccompanied youth ages 18 to 24, the overall number was also down, by 23 Youth, from 160 in 2024 to 137 in 2025. Both Shelter and Transitional were down, but unsheltered was up by 4. </w:t>
      </w:r>
    </w:p>
    <w:p w:rsidR="00D22015" w:rsidRDefault="00D22015" w:rsidP="000C76CF">
      <w:pPr>
        <w:rPr>
          <w:szCs w:val="24"/>
        </w:rPr>
      </w:pPr>
    </w:p>
    <w:p w:rsidR="003E1CE3" w:rsidRDefault="00D22015" w:rsidP="000C76CF">
      <w:pPr>
        <w:rPr>
          <w:szCs w:val="24"/>
        </w:rPr>
      </w:pPr>
      <w:r>
        <w:rPr>
          <w:szCs w:val="24"/>
        </w:rPr>
        <w:t xml:space="preserve">The total number of Parenting Youth Households, with parents aged 18 to 24, was down from 15 in 2024 to 10 in 2025, but the number of parenting youth households with the parent being under 18 years old </w:t>
      </w:r>
      <w:r w:rsidR="003E1CE3">
        <w:rPr>
          <w:szCs w:val="24"/>
        </w:rPr>
        <w:t>went from 0 in 2024 to 2 in 2025.</w:t>
      </w:r>
    </w:p>
    <w:p w:rsidR="003E1CE3" w:rsidRDefault="003E1CE3" w:rsidP="003E1CE3">
      <w:pPr>
        <w:rPr>
          <w:szCs w:val="24"/>
        </w:rPr>
      </w:pPr>
    </w:p>
    <w:p w:rsidR="00D22015" w:rsidRDefault="003E1CE3" w:rsidP="003E1CE3">
      <w:pPr>
        <w:rPr>
          <w:szCs w:val="24"/>
        </w:rPr>
      </w:pPr>
      <w:r>
        <w:rPr>
          <w:szCs w:val="24"/>
        </w:rPr>
        <w:t xml:space="preserve">In 2025 we had no homeless Veteran families reported. In 2024, we had 1 family of 3 in shelter. </w:t>
      </w:r>
    </w:p>
    <w:p w:rsidR="00861D1E" w:rsidRDefault="003E1CE3" w:rsidP="003E1CE3">
      <w:pPr>
        <w:rPr>
          <w:szCs w:val="24"/>
        </w:rPr>
      </w:pPr>
      <w:r>
        <w:rPr>
          <w:szCs w:val="24"/>
        </w:rPr>
        <w:t>For Adult only Veteran households, the overall number went from 115 in 2024 to 128 in 2025, with slight increases in both Shelter and transitional, but a decrease of 4 in the unsheltered count.</w:t>
      </w:r>
    </w:p>
    <w:tbl>
      <w:tblPr>
        <w:tblW w:w="6295" w:type="dxa"/>
        <w:tblLook w:val="04A0" w:firstRow="1" w:lastRow="0" w:firstColumn="1" w:lastColumn="0" w:noHBand="0" w:noVBand="1"/>
      </w:tblPr>
      <w:tblGrid>
        <w:gridCol w:w="3505"/>
        <w:gridCol w:w="900"/>
        <w:gridCol w:w="900"/>
        <w:gridCol w:w="990"/>
      </w:tblGrid>
      <w:tr w:rsidR="00D7510D" w:rsidRPr="00861D1E" w:rsidTr="00D7510D">
        <w:trPr>
          <w:trHeight w:val="300"/>
        </w:trPr>
        <w:tc>
          <w:tcPr>
            <w:tcW w:w="3505" w:type="dxa"/>
            <w:tcBorders>
              <w:top w:val="single" w:sz="4" w:space="0" w:color="auto"/>
              <w:left w:val="single" w:sz="4" w:space="0" w:color="auto"/>
              <w:bottom w:val="single" w:sz="4" w:space="0" w:color="auto"/>
              <w:right w:val="single" w:sz="4" w:space="0" w:color="auto"/>
            </w:tcBorders>
            <w:shd w:val="clear" w:color="000000" w:fill="D0CECE"/>
            <w:noWrap/>
            <w:vAlign w:val="bottom"/>
            <w:hideMark/>
          </w:tcPr>
          <w:p w:rsidR="00D7510D" w:rsidRPr="00861D1E" w:rsidRDefault="00D7510D" w:rsidP="00C32274">
            <w:pPr>
              <w:rPr>
                <w:rFonts w:ascii="Calibri" w:eastAsia="Times New Roman" w:hAnsi="Calibri" w:cs="Calibri"/>
                <w:color w:val="000000"/>
                <w:sz w:val="22"/>
              </w:rPr>
            </w:pPr>
            <w:r>
              <w:rPr>
                <w:rFonts w:ascii="Calibri" w:eastAsia="Times New Roman" w:hAnsi="Calibri" w:cs="Calibri"/>
                <w:color w:val="000000"/>
                <w:sz w:val="22"/>
              </w:rPr>
              <w:t>Housing Inventory Count Data</w:t>
            </w:r>
          </w:p>
        </w:tc>
        <w:tc>
          <w:tcPr>
            <w:tcW w:w="900" w:type="dxa"/>
            <w:tcBorders>
              <w:top w:val="single" w:sz="4" w:space="0" w:color="auto"/>
              <w:left w:val="nil"/>
              <w:bottom w:val="single" w:sz="4" w:space="0" w:color="auto"/>
              <w:right w:val="single" w:sz="4" w:space="0" w:color="auto"/>
            </w:tcBorders>
            <w:shd w:val="clear" w:color="000000" w:fill="D0CECE"/>
            <w:noWrap/>
            <w:vAlign w:val="bottom"/>
            <w:hideMark/>
          </w:tcPr>
          <w:p w:rsidR="00D7510D" w:rsidRPr="00861D1E" w:rsidRDefault="00D7510D" w:rsidP="00C32274">
            <w:pPr>
              <w:jc w:val="right"/>
              <w:rPr>
                <w:rFonts w:ascii="Calibri" w:eastAsia="Times New Roman" w:hAnsi="Calibri" w:cs="Calibri"/>
                <w:color w:val="000000"/>
                <w:sz w:val="22"/>
              </w:rPr>
            </w:pPr>
            <w:r w:rsidRPr="00861D1E">
              <w:rPr>
                <w:rFonts w:ascii="Calibri" w:eastAsia="Times New Roman" w:hAnsi="Calibri" w:cs="Calibri"/>
                <w:color w:val="000000"/>
                <w:sz w:val="22"/>
              </w:rPr>
              <w:t>2025</w:t>
            </w:r>
          </w:p>
        </w:tc>
        <w:tc>
          <w:tcPr>
            <w:tcW w:w="900" w:type="dxa"/>
            <w:tcBorders>
              <w:top w:val="single" w:sz="4" w:space="0" w:color="auto"/>
              <w:left w:val="nil"/>
              <w:bottom w:val="single" w:sz="4" w:space="0" w:color="auto"/>
              <w:right w:val="single" w:sz="4" w:space="0" w:color="auto"/>
            </w:tcBorders>
            <w:shd w:val="clear" w:color="000000" w:fill="D0CECE"/>
            <w:noWrap/>
            <w:vAlign w:val="bottom"/>
            <w:hideMark/>
          </w:tcPr>
          <w:p w:rsidR="00D7510D" w:rsidRPr="00861D1E" w:rsidRDefault="00D7510D" w:rsidP="00C32274">
            <w:pPr>
              <w:jc w:val="right"/>
              <w:rPr>
                <w:rFonts w:ascii="Calibri" w:eastAsia="Times New Roman" w:hAnsi="Calibri" w:cs="Calibri"/>
                <w:color w:val="000000"/>
                <w:sz w:val="22"/>
              </w:rPr>
            </w:pPr>
            <w:r w:rsidRPr="00861D1E">
              <w:rPr>
                <w:rFonts w:ascii="Calibri" w:eastAsia="Times New Roman" w:hAnsi="Calibri" w:cs="Calibri"/>
                <w:color w:val="000000"/>
                <w:sz w:val="22"/>
              </w:rPr>
              <w:t>2024</w:t>
            </w:r>
          </w:p>
        </w:tc>
        <w:tc>
          <w:tcPr>
            <w:tcW w:w="990" w:type="dxa"/>
            <w:tcBorders>
              <w:top w:val="single" w:sz="4" w:space="0" w:color="auto"/>
              <w:left w:val="nil"/>
              <w:bottom w:val="single" w:sz="4" w:space="0" w:color="auto"/>
              <w:right w:val="single" w:sz="4" w:space="0" w:color="auto"/>
            </w:tcBorders>
            <w:shd w:val="clear" w:color="000000" w:fill="D0CECE"/>
            <w:noWrap/>
            <w:vAlign w:val="bottom"/>
            <w:hideMark/>
          </w:tcPr>
          <w:p w:rsidR="00D7510D" w:rsidRPr="00861D1E" w:rsidRDefault="00D7510D" w:rsidP="00C32274">
            <w:pPr>
              <w:rPr>
                <w:rFonts w:ascii="Calibri" w:eastAsia="Times New Roman" w:hAnsi="Calibri" w:cs="Calibri"/>
                <w:color w:val="000000"/>
                <w:sz w:val="22"/>
              </w:rPr>
            </w:pPr>
            <w:r w:rsidRPr="00861D1E">
              <w:rPr>
                <w:rFonts w:ascii="Calibri" w:eastAsia="Times New Roman" w:hAnsi="Calibri" w:cs="Calibri"/>
                <w:color w:val="000000"/>
                <w:sz w:val="22"/>
              </w:rPr>
              <w:t>change</w:t>
            </w:r>
          </w:p>
        </w:tc>
      </w:tr>
      <w:tr w:rsidR="00D7510D" w:rsidRPr="00861D1E" w:rsidTr="00D7510D">
        <w:trPr>
          <w:trHeight w:val="300"/>
        </w:trPr>
        <w:tc>
          <w:tcPr>
            <w:tcW w:w="3505" w:type="dxa"/>
            <w:tcBorders>
              <w:top w:val="nil"/>
              <w:left w:val="single" w:sz="4" w:space="0" w:color="auto"/>
              <w:bottom w:val="single" w:sz="4" w:space="0" w:color="auto"/>
              <w:right w:val="single" w:sz="4" w:space="0" w:color="auto"/>
            </w:tcBorders>
            <w:shd w:val="clear" w:color="auto" w:fill="auto"/>
            <w:noWrap/>
            <w:vAlign w:val="bottom"/>
            <w:hideMark/>
          </w:tcPr>
          <w:p w:rsidR="00D7510D" w:rsidRPr="00861D1E" w:rsidRDefault="00D7510D" w:rsidP="00C32274">
            <w:pPr>
              <w:rPr>
                <w:rFonts w:ascii="Calibri" w:eastAsia="Times New Roman" w:hAnsi="Calibri" w:cs="Calibri"/>
                <w:color w:val="000000"/>
                <w:sz w:val="22"/>
              </w:rPr>
            </w:pPr>
            <w:r>
              <w:rPr>
                <w:rFonts w:ascii="Calibri" w:eastAsia="Times New Roman" w:hAnsi="Calibri" w:cs="Calibri"/>
                <w:color w:val="000000"/>
                <w:sz w:val="22"/>
              </w:rPr>
              <w:t>Emerge</w:t>
            </w:r>
            <w:r w:rsidRPr="00861D1E">
              <w:rPr>
                <w:rFonts w:ascii="Calibri" w:eastAsia="Times New Roman" w:hAnsi="Calibri" w:cs="Calibri"/>
                <w:color w:val="000000"/>
                <w:sz w:val="22"/>
              </w:rPr>
              <w:t>ncy Shelter</w:t>
            </w:r>
            <w:r>
              <w:rPr>
                <w:rFonts w:ascii="Calibri" w:eastAsia="Times New Roman" w:hAnsi="Calibri" w:cs="Calibri"/>
                <w:color w:val="000000"/>
                <w:sz w:val="22"/>
              </w:rPr>
              <w:t xml:space="preserve"> Beds</w:t>
            </w:r>
          </w:p>
        </w:tc>
        <w:tc>
          <w:tcPr>
            <w:tcW w:w="900" w:type="dxa"/>
            <w:tcBorders>
              <w:top w:val="nil"/>
              <w:left w:val="nil"/>
              <w:bottom w:val="single" w:sz="4" w:space="0" w:color="auto"/>
              <w:right w:val="single" w:sz="4" w:space="0" w:color="auto"/>
            </w:tcBorders>
            <w:shd w:val="clear" w:color="auto" w:fill="auto"/>
            <w:noWrap/>
            <w:vAlign w:val="bottom"/>
            <w:hideMark/>
          </w:tcPr>
          <w:p w:rsidR="00D7510D" w:rsidRPr="00861D1E" w:rsidRDefault="00D7510D" w:rsidP="00C32274">
            <w:pPr>
              <w:jc w:val="right"/>
              <w:rPr>
                <w:rFonts w:ascii="Calibri" w:eastAsia="Times New Roman" w:hAnsi="Calibri" w:cs="Calibri"/>
                <w:color w:val="000000"/>
                <w:sz w:val="22"/>
              </w:rPr>
            </w:pPr>
            <w:r w:rsidRPr="00861D1E">
              <w:rPr>
                <w:rFonts w:ascii="Calibri" w:eastAsia="Times New Roman" w:hAnsi="Calibri" w:cs="Calibri"/>
                <w:color w:val="000000"/>
                <w:sz w:val="22"/>
              </w:rPr>
              <w:t>1910</w:t>
            </w:r>
          </w:p>
        </w:tc>
        <w:tc>
          <w:tcPr>
            <w:tcW w:w="900" w:type="dxa"/>
            <w:tcBorders>
              <w:top w:val="nil"/>
              <w:left w:val="nil"/>
              <w:bottom w:val="single" w:sz="4" w:space="0" w:color="auto"/>
              <w:right w:val="single" w:sz="4" w:space="0" w:color="auto"/>
            </w:tcBorders>
            <w:shd w:val="clear" w:color="auto" w:fill="auto"/>
            <w:noWrap/>
            <w:vAlign w:val="bottom"/>
            <w:hideMark/>
          </w:tcPr>
          <w:p w:rsidR="00D7510D" w:rsidRPr="00861D1E" w:rsidRDefault="00D7510D" w:rsidP="00C32274">
            <w:pPr>
              <w:jc w:val="right"/>
              <w:rPr>
                <w:rFonts w:ascii="Calibri" w:eastAsia="Times New Roman" w:hAnsi="Calibri" w:cs="Calibri"/>
                <w:color w:val="000000"/>
                <w:sz w:val="22"/>
              </w:rPr>
            </w:pPr>
            <w:r w:rsidRPr="00861D1E">
              <w:rPr>
                <w:rFonts w:ascii="Calibri" w:eastAsia="Times New Roman" w:hAnsi="Calibri" w:cs="Calibri"/>
                <w:color w:val="000000"/>
                <w:sz w:val="22"/>
              </w:rPr>
              <w:t>2048</w:t>
            </w:r>
          </w:p>
        </w:tc>
        <w:tc>
          <w:tcPr>
            <w:tcW w:w="990" w:type="dxa"/>
            <w:tcBorders>
              <w:top w:val="nil"/>
              <w:left w:val="nil"/>
              <w:bottom w:val="single" w:sz="4" w:space="0" w:color="auto"/>
              <w:right w:val="single" w:sz="4" w:space="0" w:color="auto"/>
            </w:tcBorders>
            <w:shd w:val="clear" w:color="auto" w:fill="auto"/>
            <w:noWrap/>
            <w:vAlign w:val="bottom"/>
            <w:hideMark/>
          </w:tcPr>
          <w:p w:rsidR="00D7510D" w:rsidRPr="00861D1E" w:rsidRDefault="00D7510D" w:rsidP="00C32274">
            <w:pPr>
              <w:jc w:val="right"/>
              <w:rPr>
                <w:rFonts w:ascii="Calibri" w:eastAsia="Times New Roman" w:hAnsi="Calibri" w:cs="Calibri"/>
                <w:color w:val="000000"/>
                <w:sz w:val="22"/>
              </w:rPr>
            </w:pPr>
            <w:r w:rsidRPr="00861D1E">
              <w:rPr>
                <w:rFonts w:ascii="Calibri" w:eastAsia="Times New Roman" w:hAnsi="Calibri" w:cs="Calibri"/>
                <w:color w:val="000000"/>
                <w:sz w:val="22"/>
              </w:rPr>
              <w:t>-138</w:t>
            </w:r>
          </w:p>
        </w:tc>
      </w:tr>
      <w:tr w:rsidR="00D7510D" w:rsidRPr="00861D1E" w:rsidTr="00D7510D">
        <w:trPr>
          <w:trHeight w:val="300"/>
        </w:trPr>
        <w:tc>
          <w:tcPr>
            <w:tcW w:w="3505" w:type="dxa"/>
            <w:tcBorders>
              <w:top w:val="nil"/>
              <w:left w:val="single" w:sz="4" w:space="0" w:color="auto"/>
              <w:bottom w:val="single" w:sz="4" w:space="0" w:color="auto"/>
              <w:right w:val="single" w:sz="4" w:space="0" w:color="auto"/>
            </w:tcBorders>
            <w:shd w:val="clear" w:color="auto" w:fill="auto"/>
            <w:noWrap/>
            <w:vAlign w:val="bottom"/>
            <w:hideMark/>
          </w:tcPr>
          <w:p w:rsidR="00D7510D" w:rsidRPr="00861D1E" w:rsidRDefault="00D7510D" w:rsidP="00C32274">
            <w:pPr>
              <w:rPr>
                <w:rFonts w:ascii="Calibri" w:eastAsia="Times New Roman" w:hAnsi="Calibri" w:cs="Calibri"/>
                <w:color w:val="000000"/>
                <w:sz w:val="22"/>
              </w:rPr>
            </w:pPr>
            <w:r w:rsidRPr="00861D1E">
              <w:rPr>
                <w:rFonts w:ascii="Calibri" w:eastAsia="Times New Roman" w:hAnsi="Calibri" w:cs="Calibri"/>
                <w:color w:val="000000"/>
                <w:sz w:val="22"/>
              </w:rPr>
              <w:t>Transitional Housing</w:t>
            </w:r>
            <w:r>
              <w:rPr>
                <w:rFonts w:ascii="Calibri" w:eastAsia="Times New Roman" w:hAnsi="Calibri" w:cs="Calibri"/>
                <w:color w:val="000000"/>
                <w:sz w:val="22"/>
              </w:rPr>
              <w:t xml:space="preserve"> Beds</w:t>
            </w:r>
          </w:p>
        </w:tc>
        <w:tc>
          <w:tcPr>
            <w:tcW w:w="900" w:type="dxa"/>
            <w:tcBorders>
              <w:top w:val="nil"/>
              <w:left w:val="nil"/>
              <w:bottom w:val="single" w:sz="4" w:space="0" w:color="auto"/>
              <w:right w:val="single" w:sz="4" w:space="0" w:color="auto"/>
            </w:tcBorders>
            <w:shd w:val="clear" w:color="auto" w:fill="auto"/>
            <w:noWrap/>
            <w:vAlign w:val="bottom"/>
            <w:hideMark/>
          </w:tcPr>
          <w:p w:rsidR="00D7510D" w:rsidRPr="00861D1E" w:rsidRDefault="00D7510D" w:rsidP="00C32274">
            <w:pPr>
              <w:jc w:val="right"/>
              <w:rPr>
                <w:rFonts w:ascii="Calibri" w:eastAsia="Times New Roman" w:hAnsi="Calibri" w:cs="Calibri"/>
                <w:color w:val="000000"/>
                <w:sz w:val="22"/>
              </w:rPr>
            </w:pPr>
            <w:r w:rsidRPr="00861D1E">
              <w:rPr>
                <w:rFonts w:ascii="Calibri" w:eastAsia="Times New Roman" w:hAnsi="Calibri" w:cs="Calibri"/>
                <w:color w:val="000000"/>
                <w:sz w:val="22"/>
              </w:rPr>
              <w:t>667</w:t>
            </w:r>
          </w:p>
        </w:tc>
        <w:tc>
          <w:tcPr>
            <w:tcW w:w="900" w:type="dxa"/>
            <w:tcBorders>
              <w:top w:val="nil"/>
              <w:left w:val="nil"/>
              <w:bottom w:val="single" w:sz="4" w:space="0" w:color="auto"/>
              <w:right w:val="single" w:sz="4" w:space="0" w:color="auto"/>
            </w:tcBorders>
            <w:shd w:val="clear" w:color="auto" w:fill="auto"/>
            <w:noWrap/>
            <w:vAlign w:val="bottom"/>
            <w:hideMark/>
          </w:tcPr>
          <w:p w:rsidR="00D7510D" w:rsidRPr="00861D1E" w:rsidRDefault="00D7510D" w:rsidP="00C32274">
            <w:pPr>
              <w:jc w:val="right"/>
              <w:rPr>
                <w:rFonts w:ascii="Calibri" w:eastAsia="Times New Roman" w:hAnsi="Calibri" w:cs="Calibri"/>
                <w:color w:val="000000"/>
                <w:sz w:val="22"/>
              </w:rPr>
            </w:pPr>
            <w:r w:rsidRPr="00861D1E">
              <w:rPr>
                <w:rFonts w:ascii="Calibri" w:eastAsia="Times New Roman" w:hAnsi="Calibri" w:cs="Calibri"/>
                <w:color w:val="000000"/>
                <w:sz w:val="22"/>
              </w:rPr>
              <w:t>770</w:t>
            </w:r>
          </w:p>
        </w:tc>
        <w:tc>
          <w:tcPr>
            <w:tcW w:w="990" w:type="dxa"/>
            <w:tcBorders>
              <w:top w:val="nil"/>
              <w:left w:val="nil"/>
              <w:bottom w:val="single" w:sz="4" w:space="0" w:color="auto"/>
              <w:right w:val="single" w:sz="4" w:space="0" w:color="auto"/>
            </w:tcBorders>
            <w:shd w:val="clear" w:color="auto" w:fill="auto"/>
            <w:noWrap/>
            <w:vAlign w:val="bottom"/>
            <w:hideMark/>
          </w:tcPr>
          <w:p w:rsidR="00D7510D" w:rsidRPr="00861D1E" w:rsidRDefault="00D7510D" w:rsidP="00C32274">
            <w:pPr>
              <w:jc w:val="right"/>
              <w:rPr>
                <w:rFonts w:ascii="Calibri" w:eastAsia="Times New Roman" w:hAnsi="Calibri" w:cs="Calibri"/>
                <w:color w:val="000000"/>
                <w:sz w:val="22"/>
              </w:rPr>
            </w:pPr>
            <w:r w:rsidRPr="00861D1E">
              <w:rPr>
                <w:rFonts w:ascii="Calibri" w:eastAsia="Times New Roman" w:hAnsi="Calibri" w:cs="Calibri"/>
                <w:color w:val="000000"/>
                <w:sz w:val="22"/>
              </w:rPr>
              <w:t>-103</w:t>
            </w:r>
          </w:p>
        </w:tc>
      </w:tr>
      <w:tr w:rsidR="00D7510D" w:rsidRPr="00861D1E" w:rsidTr="00D7510D">
        <w:trPr>
          <w:trHeight w:val="300"/>
        </w:trPr>
        <w:tc>
          <w:tcPr>
            <w:tcW w:w="3505" w:type="dxa"/>
            <w:tcBorders>
              <w:top w:val="nil"/>
              <w:left w:val="single" w:sz="4" w:space="0" w:color="auto"/>
              <w:bottom w:val="single" w:sz="4" w:space="0" w:color="auto"/>
              <w:right w:val="single" w:sz="4" w:space="0" w:color="auto"/>
            </w:tcBorders>
            <w:shd w:val="clear" w:color="auto" w:fill="auto"/>
            <w:noWrap/>
            <w:vAlign w:val="bottom"/>
            <w:hideMark/>
          </w:tcPr>
          <w:p w:rsidR="00D7510D" w:rsidRPr="00861D1E" w:rsidRDefault="00D7510D" w:rsidP="00C32274">
            <w:pPr>
              <w:rPr>
                <w:rFonts w:ascii="Calibri" w:eastAsia="Times New Roman" w:hAnsi="Calibri" w:cs="Calibri"/>
                <w:color w:val="000000"/>
                <w:sz w:val="22"/>
              </w:rPr>
            </w:pPr>
            <w:r w:rsidRPr="00861D1E">
              <w:rPr>
                <w:rFonts w:ascii="Calibri" w:eastAsia="Times New Roman" w:hAnsi="Calibri" w:cs="Calibri"/>
                <w:color w:val="000000"/>
                <w:sz w:val="22"/>
              </w:rPr>
              <w:t>Safe Haven</w:t>
            </w:r>
            <w:r>
              <w:rPr>
                <w:rFonts w:ascii="Calibri" w:eastAsia="Times New Roman" w:hAnsi="Calibri" w:cs="Calibri"/>
                <w:color w:val="000000"/>
                <w:sz w:val="22"/>
              </w:rPr>
              <w:t xml:space="preserve"> Beds</w:t>
            </w:r>
          </w:p>
        </w:tc>
        <w:tc>
          <w:tcPr>
            <w:tcW w:w="900" w:type="dxa"/>
            <w:tcBorders>
              <w:top w:val="nil"/>
              <w:left w:val="nil"/>
              <w:bottom w:val="single" w:sz="4" w:space="0" w:color="auto"/>
              <w:right w:val="single" w:sz="4" w:space="0" w:color="auto"/>
            </w:tcBorders>
            <w:shd w:val="clear" w:color="auto" w:fill="auto"/>
            <w:noWrap/>
            <w:vAlign w:val="bottom"/>
            <w:hideMark/>
          </w:tcPr>
          <w:p w:rsidR="00D7510D" w:rsidRPr="00861D1E" w:rsidRDefault="00D7510D" w:rsidP="00C32274">
            <w:pPr>
              <w:jc w:val="right"/>
              <w:rPr>
                <w:rFonts w:ascii="Calibri" w:eastAsia="Times New Roman" w:hAnsi="Calibri" w:cs="Calibri"/>
                <w:color w:val="000000"/>
                <w:sz w:val="22"/>
              </w:rPr>
            </w:pPr>
            <w:r w:rsidRPr="00861D1E">
              <w:rPr>
                <w:rFonts w:ascii="Calibri" w:eastAsia="Times New Roman" w:hAnsi="Calibri" w:cs="Calibri"/>
                <w:color w:val="000000"/>
                <w:sz w:val="22"/>
              </w:rPr>
              <w:t>15</w:t>
            </w:r>
          </w:p>
        </w:tc>
        <w:tc>
          <w:tcPr>
            <w:tcW w:w="900" w:type="dxa"/>
            <w:tcBorders>
              <w:top w:val="nil"/>
              <w:left w:val="nil"/>
              <w:bottom w:val="single" w:sz="4" w:space="0" w:color="auto"/>
              <w:right w:val="single" w:sz="4" w:space="0" w:color="auto"/>
            </w:tcBorders>
            <w:shd w:val="clear" w:color="auto" w:fill="auto"/>
            <w:noWrap/>
            <w:vAlign w:val="bottom"/>
            <w:hideMark/>
          </w:tcPr>
          <w:p w:rsidR="00D7510D" w:rsidRPr="00861D1E" w:rsidRDefault="00D7510D" w:rsidP="00C32274">
            <w:pPr>
              <w:jc w:val="right"/>
              <w:rPr>
                <w:rFonts w:ascii="Calibri" w:eastAsia="Times New Roman" w:hAnsi="Calibri" w:cs="Calibri"/>
                <w:color w:val="000000"/>
                <w:sz w:val="22"/>
              </w:rPr>
            </w:pPr>
            <w:r w:rsidRPr="00861D1E">
              <w:rPr>
                <w:rFonts w:ascii="Calibri" w:eastAsia="Times New Roman" w:hAnsi="Calibri" w:cs="Calibri"/>
                <w:color w:val="000000"/>
                <w:sz w:val="22"/>
              </w:rPr>
              <w:t>15</w:t>
            </w:r>
          </w:p>
        </w:tc>
        <w:tc>
          <w:tcPr>
            <w:tcW w:w="990" w:type="dxa"/>
            <w:tcBorders>
              <w:top w:val="nil"/>
              <w:left w:val="nil"/>
              <w:bottom w:val="single" w:sz="4" w:space="0" w:color="auto"/>
              <w:right w:val="single" w:sz="4" w:space="0" w:color="auto"/>
            </w:tcBorders>
            <w:shd w:val="clear" w:color="auto" w:fill="auto"/>
            <w:noWrap/>
            <w:vAlign w:val="bottom"/>
            <w:hideMark/>
          </w:tcPr>
          <w:p w:rsidR="00D7510D" w:rsidRPr="00861D1E" w:rsidRDefault="00D7510D" w:rsidP="00C32274">
            <w:pPr>
              <w:jc w:val="right"/>
              <w:rPr>
                <w:rFonts w:ascii="Calibri" w:eastAsia="Times New Roman" w:hAnsi="Calibri" w:cs="Calibri"/>
                <w:color w:val="000000"/>
                <w:sz w:val="22"/>
              </w:rPr>
            </w:pPr>
            <w:r w:rsidRPr="00861D1E">
              <w:rPr>
                <w:rFonts w:ascii="Calibri" w:eastAsia="Times New Roman" w:hAnsi="Calibri" w:cs="Calibri"/>
                <w:color w:val="000000"/>
                <w:sz w:val="22"/>
              </w:rPr>
              <w:t>0</w:t>
            </w:r>
          </w:p>
        </w:tc>
      </w:tr>
      <w:tr w:rsidR="00D7510D" w:rsidRPr="00861D1E" w:rsidTr="00D7510D">
        <w:trPr>
          <w:trHeight w:val="300"/>
        </w:trPr>
        <w:tc>
          <w:tcPr>
            <w:tcW w:w="3505" w:type="dxa"/>
            <w:tcBorders>
              <w:top w:val="nil"/>
              <w:left w:val="single" w:sz="4" w:space="0" w:color="auto"/>
              <w:bottom w:val="single" w:sz="4" w:space="0" w:color="auto"/>
              <w:right w:val="single" w:sz="4" w:space="0" w:color="auto"/>
            </w:tcBorders>
            <w:shd w:val="clear" w:color="auto" w:fill="auto"/>
            <w:noWrap/>
            <w:vAlign w:val="bottom"/>
            <w:hideMark/>
          </w:tcPr>
          <w:p w:rsidR="00D7510D" w:rsidRPr="00861D1E" w:rsidRDefault="00D7510D" w:rsidP="00C32274">
            <w:pPr>
              <w:rPr>
                <w:rFonts w:ascii="Calibri" w:eastAsia="Times New Roman" w:hAnsi="Calibri" w:cs="Calibri"/>
                <w:color w:val="000000"/>
                <w:sz w:val="22"/>
              </w:rPr>
            </w:pPr>
            <w:r w:rsidRPr="00861D1E">
              <w:rPr>
                <w:rFonts w:ascii="Calibri" w:eastAsia="Times New Roman" w:hAnsi="Calibri" w:cs="Calibri"/>
                <w:color w:val="000000"/>
                <w:sz w:val="22"/>
              </w:rPr>
              <w:t>Rapid Re-Housing</w:t>
            </w:r>
            <w:r>
              <w:rPr>
                <w:rFonts w:ascii="Calibri" w:eastAsia="Times New Roman" w:hAnsi="Calibri" w:cs="Calibri"/>
                <w:color w:val="000000"/>
                <w:sz w:val="22"/>
              </w:rPr>
              <w:t xml:space="preserve"> Beds</w:t>
            </w:r>
          </w:p>
        </w:tc>
        <w:tc>
          <w:tcPr>
            <w:tcW w:w="900" w:type="dxa"/>
            <w:tcBorders>
              <w:top w:val="nil"/>
              <w:left w:val="nil"/>
              <w:bottom w:val="single" w:sz="4" w:space="0" w:color="auto"/>
              <w:right w:val="single" w:sz="4" w:space="0" w:color="auto"/>
            </w:tcBorders>
            <w:shd w:val="clear" w:color="auto" w:fill="auto"/>
            <w:noWrap/>
            <w:vAlign w:val="bottom"/>
            <w:hideMark/>
          </w:tcPr>
          <w:p w:rsidR="00D7510D" w:rsidRPr="00861D1E" w:rsidRDefault="00D7510D" w:rsidP="00C32274">
            <w:pPr>
              <w:jc w:val="right"/>
              <w:rPr>
                <w:rFonts w:ascii="Calibri" w:eastAsia="Times New Roman" w:hAnsi="Calibri" w:cs="Calibri"/>
                <w:color w:val="000000"/>
                <w:sz w:val="22"/>
              </w:rPr>
            </w:pPr>
            <w:r w:rsidRPr="00861D1E">
              <w:rPr>
                <w:rFonts w:ascii="Calibri" w:eastAsia="Times New Roman" w:hAnsi="Calibri" w:cs="Calibri"/>
                <w:color w:val="000000"/>
                <w:sz w:val="22"/>
              </w:rPr>
              <w:t>601</w:t>
            </w:r>
          </w:p>
        </w:tc>
        <w:tc>
          <w:tcPr>
            <w:tcW w:w="900" w:type="dxa"/>
            <w:tcBorders>
              <w:top w:val="nil"/>
              <w:left w:val="nil"/>
              <w:bottom w:val="single" w:sz="4" w:space="0" w:color="auto"/>
              <w:right w:val="single" w:sz="4" w:space="0" w:color="auto"/>
            </w:tcBorders>
            <w:shd w:val="clear" w:color="auto" w:fill="auto"/>
            <w:noWrap/>
            <w:vAlign w:val="bottom"/>
            <w:hideMark/>
          </w:tcPr>
          <w:p w:rsidR="00D7510D" w:rsidRPr="00861D1E" w:rsidRDefault="00D7510D" w:rsidP="00C32274">
            <w:pPr>
              <w:jc w:val="right"/>
              <w:rPr>
                <w:rFonts w:ascii="Calibri" w:eastAsia="Times New Roman" w:hAnsi="Calibri" w:cs="Calibri"/>
                <w:color w:val="000000"/>
                <w:sz w:val="22"/>
              </w:rPr>
            </w:pPr>
            <w:r w:rsidRPr="00861D1E">
              <w:rPr>
                <w:rFonts w:ascii="Calibri" w:eastAsia="Times New Roman" w:hAnsi="Calibri" w:cs="Calibri"/>
                <w:color w:val="000000"/>
                <w:sz w:val="22"/>
              </w:rPr>
              <w:t>486</w:t>
            </w:r>
          </w:p>
        </w:tc>
        <w:tc>
          <w:tcPr>
            <w:tcW w:w="990" w:type="dxa"/>
            <w:tcBorders>
              <w:top w:val="nil"/>
              <w:left w:val="nil"/>
              <w:bottom w:val="single" w:sz="4" w:space="0" w:color="auto"/>
              <w:right w:val="single" w:sz="4" w:space="0" w:color="auto"/>
            </w:tcBorders>
            <w:shd w:val="clear" w:color="auto" w:fill="auto"/>
            <w:noWrap/>
            <w:vAlign w:val="bottom"/>
            <w:hideMark/>
          </w:tcPr>
          <w:p w:rsidR="00D7510D" w:rsidRPr="00861D1E" w:rsidRDefault="00D7510D" w:rsidP="00C32274">
            <w:pPr>
              <w:jc w:val="right"/>
              <w:rPr>
                <w:rFonts w:ascii="Calibri" w:eastAsia="Times New Roman" w:hAnsi="Calibri" w:cs="Calibri"/>
                <w:color w:val="000000"/>
                <w:sz w:val="22"/>
              </w:rPr>
            </w:pPr>
            <w:r w:rsidRPr="00861D1E">
              <w:rPr>
                <w:rFonts w:ascii="Calibri" w:eastAsia="Times New Roman" w:hAnsi="Calibri" w:cs="Calibri"/>
                <w:color w:val="000000"/>
                <w:sz w:val="22"/>
              </w:rPr>
              <w:t>115</w:t>
            </w:r>
          </w:p>
        </w:tc>
      </w:tr>
      <w:tr w:rsidR="00D7510D" w:rsidRPr="00861D1E" w:rsidTr="00D7510D">
        <w:trPr>
          <w:trHeight w:val="300"/>
        </w:trPr>
        <w:tc>
          <w:tcPr>
            <w:tcW w:w="3505" w:type="dxa"/>
            <w:tcBorders>
              <w:top w:val="nil"/>
              <w:left w:val="single" w:sz="4" w:space="0" w:color="auto"/>
              <w:bottom w:val="single" w:sz="4" w:space="0" w:color="auto"/>
              <w:right w:val="single" w:sz="4" w:space="0" w:color="auto"/>
            </w:tcBorders>
            <w:shd w:val="clear" w:color="auto" w:fill="auto"/>
            <w:noWrap/>
            <w:vAlign w:val="bottom"/>
            <w:hideMark/>
          </w:tcPr>
          <w:p w:rsidR="00D7510D" w:rsidRPr="00861D1E" w:rsidRDefault="00D7510D" w:rsidP="00C32274">
            <w:pPr>
              <w:rPr>
                <w:rFonts w:ascii="Calibri" w:eastAsia="Times New Roman" w:hAnsi="Calibri" w:cs="Calibri"/>
                <w:color w:val="000000"/>
                <w:sz w:val="22"/>
              </w:rPr>
            </w:pPr>
            <w:r w:rsidRPr="00861D1E">
              <w:rPr>
                <w:rFonts w:ascii="Calibri" w:eastAsia="Times New Roman" w:hAnsi="Calibri" w:cs="Calibri"/>
                <w:color w:val="000000"/>
                <w:sz w:val="22"/>
              </w:rPr>
              <w:t>Permanent Supportive Housing</w:t>
            </w:r>
            <w:r>
              <w:rPr>
                <w:rFonts w:ascii="Calibri" w:eastAsia="Times New Roman" w:hAnsi="Calibri" w:cs="Calibri"/>
                <w:color w:val="000000"/>
                <w:sz w:val="22"/>
              </w:rPr>
              <w:t xml:space="preserve"> Beds</w:t>
            </w:r>
          </w:p>
        </w:tc>
        <w:tc>
          <w:tcPr>
            <w:tcW w:w="900" w:type="dxa"/>
            <w:tcBorders>
              <w:top w:val="nil"/>
              <w:left w:val="nil"/>
              <w:bottom w:val="single" w:sz="4" w:space="0" w:color="auto"/>
              <w:right w:val="single" w:sz="4" w:space="0" w:color="auto"/>
            </w:tcBorders>
            <w:shd w:val="clear" w:color="auto" w:fill="auto"/>
            <w:noWrap/>
            <w:vAlign w:val="bottom"/>
            <w:hideMark/>
          </w:tcPr>
          <w:p w:rsidR="00D7510D" w:rsidRPr="00861D1E" w:rsidRDefault="00D7510D" w:rsidP="00C32274">
            <w:pPr>
              <w:jc w:val="right"/>
              <w:rPr>
                <w:rFonts w:ascii="Calibri" w:eastAsia="Times New Roman" w:hAnsi="Calibri" w:cs="Calibri"/>
                <w:color w:val="000000"/>
                <w:sz w:val="22"/>
              </w:rPr>
            </w:pPr>
            <w:r w:rsidRPr="00861D1E">
              <w:rPr>
                <w:rFonts w:ascii="Calibri" w:eastAsia="Times New Roman" w:hAnsi="Calibri" w:cs="Calibri"/>
                <w:color w:val="000000"/>
                <w:sz w:val="22"/>
              </w:rPr>
              <w:t>2025</w:t>
            </w:r>
          </w:p>
        </w:tc>
        <w:tc>
          <w:tcPr>
            <w:tcW w:w="900" w:type="dxa"/>
            <w:tcBorders>
              <w:top w:val="nil"/>
              <w:left w:val="nil"/>
              <w:bottom w:val="single" w:sz="4" w:space="0" w:color="auto"/>
              <w:right w:val="single" w:sz="4" w:space="0" w:color="auto"/>
            </w:tcBorders>
            <w:shd w:val="clear" w:color="auto" w:fill="auto"/>
            <w:noWrap/>
            <w:vAlign w:val="bottom"/>
            <w:hideMark/>
          </w:tcPr>
          <w:p w:rsidR="00D7510D" w:rsidRPr="00861D1E" w:rsidRDefault="00D7510D" w:rsidP="00C32274">
            <w:pPr>
              <w:jc w:val="right"/>
              <w:rPr>
                <w:rFonts w:ascii="Calibri" w:eastAsia="Times New Roman" w:hAnsi="Calibri" w:cs="Calibri"/>
                <w:color w:val="000000"/>
                <w:sz w:val="22"/>
              </w:rPr>
            </w:pPr>
            <w:r w:rsidRPr="00861D1E">
              <w:rPr>
                <w:rFonts w:ascii="Calibri" w:eastAsia="Times New Roman" w:hAnsi="Calibri" w:cs="Calibri"/>
                <w:color w:val="000000"/>
                <w:sz w:val="22"/>
              </w:rPr>
              <w:t>2290</w:t>
            </w:r>
          </w:p>
        </w:tc>
        <w:tc>
          <w:tcPr>
            <w:tcW w:w="990" w:type="dxa"/>
            <w:tcBorders>
              <w:top w:val="nil"/>
              <w:left w:val="nil"/>
              <w:bottom w:val="single" w:sz="4" w:space="0" w:color="auto"/>
              <w:right w:val="single" w:sz="4" w:space="0" w:color="auto"/>
            </w:tcBorders>
            <w:shd w:val="clear" w:color="auto" w:fill="auto"/>
            <w:noWrap/>
            <w:vAlign w:val="bottom"/>
            <w:hideMark/>
          </w:tcPr>
          <w:p w:rsidR="00D7510D" w:rsidRPr="00861D1E" w:rsidRDefault="00D7510D" w:rsidP="00C32274">
            <w:pPr>
              <w:jc w:val="right"/>
              <w:rPr>
                <w:rFonts w:ascii="Calibri" w:eastAsia="Times New Roman" w:hAnsi="Calibri" w:cs="Calibri"/>
                <w:color w:val="000000"/>
                <w:sz w:val="22"/>
              </w:rPr>
            </w:pPr>
            <w:r w:rsidRPr="00861D1E">
              <w:rPr>
                <w:rFonts w:ascii="Calibri" w:eastAsia="Times New Roman" w:hAnsi="Calibri" w:cs="Calibri"/>
                <w:color w:val="000000"/>
                <w:sz w:val="22"/>
              </w:rPr>
              <w:t>-265</w:t>
            </w:r>
          </w:p>
        </w:tc>
      </w:tr>
      <w:tr w:rsidR="00D7510D" w:rsidRPr="00861D1E" w:rsidTr="00D7510D">
        <w:trPr>
          <w:trHeight w:val="300"/>
        </w:trPr>
        <w:tc>
          <w:tcPr>
            <w:tcW w:w="3505" w:type="dxa"/>
            <w:tcBorders>
              <w:top w:val="nil"/>
              <w:left w:val="single" w:sz="4" w:space="0" w:color="auto"/>
              <w:bottom w:val="single" w:sz="4" w:space="0" w:color="auto"/>
              <w:right w:val="single" w:sz="4" w:space="0" w:color="auto"/>
            </w:tcBorders>
            <w:shd w:val="clear" w:color="auto" w:fill="auto"/>
            <w:noWrap/>
            <w:vAlign w:val="bottom"/>
            <w:hideMark/>
          </w:tcPr>
          <w:p w:rsidR="00D7510D" w:rsidRPr="00861D1E" w:rsidRDefault="00D7510D" w:rsidP="00C32274">
            <w:pPr>
              <w:rPr>
                <w:rFonts w:ascii="Calibri" w:eastAsia="Times New Roman" w:hAnsi="Calibri" w:cs="Calibri"/>
                <w:color w:val="000000"/>
                <w:sz w:val="22"/>
              </w:rPr>
            </w:pPr>
            <w:r w:rsidRPr="00861D1E">
              <w:rPr>
                <w:rFonts w:ascii="Calibri" w:eastAsia="Times New Roman" w:hAnsi="Calibri" w:cs="Calibri"/>
                <w:color w:val="000000"/>
                <w:sz w:val="22"/>
              </w:rPr>
              <w:t>Other Permanent Housing</w:t>
            </w:r>
            <w:r>
              <w:rPr>
                <w:rFonts w:ascii="Calibri" w:eastAsia="Times New Roman" w:hAnsi="Calibri" w:cs="Calibri"/>
                <w:color w:val="000000"/>
                <w:sz w:val="22"/>
              </w:rPr>
              <w:t xml:space="preserve"> Beds</w:t>
            </w:r>
          </w:p>
        </w:tc>
        <w:tc>
          <w:tcPr>
            <w:tcW w:w="900" w:type="dxa"/>
            <w:tcBorders>
              <w:top w:val="nil"/>
              <w:left w:val="nil"/>
              <w:bottom w:val="single" w:sz="4" w:space="0" w:color="auto"/>
              <w:right w:val="single" w:sz="4" w:space="0" w:color="auto"/>
            </w:tcBorders>
            <w:shd w:val="clear" w:color="auto" w:fill="auto"/>
            <w:noWrap/>
            <w:vAlign w:val="bottom"/>
            <w:hideMark/>
          </w:tcPr>
          <w:p w:rsidR="00D7510D" w:rsidRPr="00861D1E" w:rsidRDefault="00D7510D" w:rsidP="00C32274">
            <w:pPr>
              <w:jc w:val="right"/>
              <w:rPr>
                <w:rFonts w:ascii="Calibri" w:eastAsia="Times New Roman" w:hAnsi="Calibri" w:cs="Calibri"/>
                <w:color w:val="000000"/>
                <w:sz w:val="22"/>
              </w:rPr>
            </w:pPr>
            <w:r w:rsidRPr="00861D1E">
              <w:rPr>
                <w:rFonts w:ascii="Calibri" w:eastAsia="Times New Roman" w:hAnsi="Calibri" w:cs="Calibri"/>
                <w:color w:val="000000"/>
                <w:sz w:val="22"/>
              </w:rPr>
              <w:t>339</w:t>
            </w:r>
          </w:p>
        </w:tc>
        <w:tc>
          <w:tcPr>
            <w:tcW w:w="900" w:type="dxa"/>
            <w:tcBorders>
              <w:top w:val="nil"/>
              <w:left w:val="nil"/>
              <w:bottom w:val="single" w:sz="4" w:space="0" w:color="auto"/>
              <w:right w:val="single" w:sz="4" w:space="0" w:color="auto"/>
            </w:tcBorders>
            <w:shd w:val="clear" w:color="auto" w:fill="auto"/>
            <w:noWrap/>
            <w:vAlign w:val="bottom"/>
            <w:hideMark/>
          </w:tcPr>
          <w:p w:rsidR="00D7510D" w:rsidRPr="00861D1E" w:rsidRDefault="00D7510D" w:rsidP="00C32274">
            <w:pPr>
              <w:jc w:val="right"/>
              <w:rPr>
                <w:rFonts w:ascii="Calibri" w:eastAsia="Times New Roman" w:hAnsi="Calibri" w:cs="Calibri"/>
                <w:color w:val="000000"/>
                <w:sz w:val="22"/>
              </w:rPr>
            </w:pPr>
            <w:r w:rsidRPr="00861D1E">
              <w:rPr>
                <w:rFonts w:ascii="Calibri" w:eastAsia="Times New Roman" w:hAnsi="Calibri" w:cs="Calibri"/>
                <w:color w:val="000000"/>
                <w:sz w:val="22"/>
              </w:rPr>
              <w:t>361</w:t>
            </w:r>
          </w:p>
        </w:tc>
        <w:tc>
          <w:tcPr>
            <w:tcW w:w="990" w:type="dxa"/>
            <w:tcBorders>
              <w:top w:val="nil"/>
              <w:left w:val="nil"/>
              <w:bottom w:val="single" w:sz="4" w:space="0" w:color="auto"/>
              <w:right w:val="single" w:sz="4" w:space="0" w:color="auto"/>
            </w:tcBorders>
            <w:shd w:val="clear" w:color="auto" w:fill="auto"/>
            <w:noWrap/>
            <w:vAlign w:val="bottom"/>
            <w:hideMark/>
          </w:tcPr>
          <w:p w:rsidR="00D7510D" w:rsidRPr="00861D1E" w:rsidRDefault="00D7510D" w:rsidP="00C32274">
            <w:pPr>
              <w:jc w:val="right"/>
              <w:rPr>
                <w:rFonts w:ascii="Calibri" w:eastAsia="Times New Roman" w:hAnsi="Calibri" w:cs="Calibri"/>
                <w:color w:val="000000"/>
                <w:sz w:val="22"/>
              </w:rPr>
            </w:pPr>
            <w:r w:rsidRPr="00861D1E">
              <w:rPr>
                <w:rFonts w:ascii="Calibri" w:eastAsia="Times New Roman" w:hAnsi="Calibri" w:cs="Calibri"/>
                <w:color w:val="000000"/>
                <w:sz w:val="22"/>
              </w:rPr>
              <w:t>-22</w:t>
            </w:r>
          </w:p>
        </w:tc>
      </w:tr>
      <w:tr w:rsidR="00D7510D" w:rsidRPr="00861D1E" w:rsidTr="00D7510D">
        <w:trPr>
          <w:trHeight w:val="300"/>
        </w:trPr>
        <w:tc>
          <w:tcPr>
            <w:tcW w:w="3505" w:type="dxa"/>
            <w:tcBorders>
              <w:top w:val="nil"/>
              <w:left w:val="single" w:sz="4" w:space="0" w:color="auto"/>
              <w:bottom w:val="single" w:sz="4" w:space="0" w:color="auto"/>
              <w:right w:val="single" w:sz="4" w:space="0" w:color="auto"/>
            </w:tcBorders>
            <w:shd w:val="clear" w:color="000000" w:fill="D0CECE"/>
            <w:noWrap/>
            <w:vAlign w:val="bottom"/>
            <w:hideMark/>
          </w:tcPr>
          <w:p w:rsidR="00D7510D" w:rsidRPr="00861D1E" w:rsidRDefault="00D7510D" w:rsidP="00C32274">
            <w:pPr>
              <w:jc w:val="right"/>
              <w:rPr>
                <w:rFonts w:ascii="Calibri" w:eastAsia="Times New Roman" w:hAnsi="Calibri" w:cs="Calibri"/>
                <w:color w:val="000000"/>
                <w:sz w:val="22"/>
              </w:rPr>
            </w:pPr>
            <w:r w:rsidRPr="00861D1E">
              <w:rPr>
                <w:rFonts w:ascii="Calibri" w:eastAsia="Times New Roman" w:hAnsi="Calibri" w:cs="Calibri"/>
                <w:color w:val="000000"/>
                <w:sz w:val="22"/>
              </w:rPr>
              <w:t xml:space="preserve">Totals </w:t>
            </w:r>
          </w:p>
        </w:tc>
        <w:tc>
          <w:tcPr>
            <w:tcW w:w="900" w:type="dxa"/>
            <w:tcBorders>
              <w:top w:val="nil"/>
              <w:left w:val="nil"/>
              <w:bottom w:val="single" w:sz="4" w:space="0" w:color="auto"/>
              <w:right w:val="single" w:sz="4" w:space="0" w:color="auto"/>
            </w:tcBorders>
            <w:shd w:val="clear" w:color="000000" w:fill="D0CECE"/>
            <w:noWrap/>
            <w:vAlign w:val="bottom"/>
            <w:hideMark/>
          </w:tcPr>
          <w:p w:rsidR="00D7510D" w:rsidRPr="00861D1E" w:rsidRDefault="00D7510D" w:rsidP="00C32274">
            <w:pPr>
              <w:jc w:val="right"/>
              <w:rPr>
                <w:rFonts w:ascii="Calibri" w:eastAsia="Times New Roman" w:hAnsi="Calibri" w:cs="Calibri"/>
                <w:color w:val="000000"/>
                <w:sz w:val="22"/>
              </w:rPr>
            </w:pPr>
            <w:r w:rsidRPr="00861D1E">
              <w:rPr>
                <w:rFonts w:ascii="Calibri" w:eastAsia="Times New Roman" w:hAnsi="Calibri" w:cs="Calibri"/>
                <w:color w:val="000000"/>
                <w:sz w:val="22"/>
              </w:rPr>
              <w:t>5557</w:t>
            </w:r>
          </w:p>
        </w:tc>
        <w:tc>
          <w:tcPr>
            <w:tcW w:w="900" w:type="dxa"/>
            <w:tcBorders>
              <w:top w:val="nil"/>
              <w:left w:val="nil"/>
              <w:bottom w:val="single" w:sz="4" w:space="0" w:color="auto"/>
              <w:right w:val="single" w:sz="4" w:space="0" w:color="auto"/>
            </w:tcBorders>
            <w:shd w:val="clear" w:color="000000" w:fill="D0CECE"/>
            <w:noWrap/>
            <w:vAlign w:val="bottom"/>
            <w:hideMark/>
          </w:tcPr>
          <w:p w:rsidR="00D7510D" w:rsidRPr="00861D1E" w:rsidRDefault="00D7510D" w:rsidP="00C32274">
            <w:pPr>
              <w:jc w:val="right"/>
              <w:rPr>
                <w:rFonts w:ascii="Calibri" w:eastAsia="Times New Roman" w:hAnsi="Calibri" w:cs="Calibri"/>
                <w:color w:val="000000"/>
                <w:sz w:val="22"/>
              </w:rPr>
            </w:pPr>
            <w:r w:rsidRPr="00861D1E">
              <w:rPr>
                <w:rFonts w:ascii="Calibri" w:eastAsia="Times New Roman" w:hAnsi="Calibri" w:cs="Calibri"/>
                <w:color w:val="000000"/>
                <w:sz w:val="22"/>
              </w:rPr>
              <w:t>5970</w:t>
            </w:r>
          </w:p>
        </w:tc>
        <w:tc>
          <w:tcPr>
            <w:tcW w:w="990" w:type="dxa"/>
            <w:tcBorders>
              <w:top w:val="nil"/>
              <w:left w:val="nil"/>
              <w:bottom w:val="single" w:sz="4" w:space="0" w:color="auto"/>
              <w:right w:val="single" w:sz="4" w:space="0" w:color="auto"/>
            </w:tcBorders>
            <w:shd w:val="clear" w:color="000000" w:fill="D0CECE"/>
            <w:noWrap/>
            <w:vAlign w:val="bottom"/>
            <w:hideMark/>
          </w:tcPr>
          <w:p w:rsidR="00D7510D" w:rsidRPr="00861D1E" w:rsidRDefault="00D7510D" w:rsidP="00C32274">
            <w:pPr>
              <w:jc w:val="right"/>
              <w:rPr>
                <w:rFonts w:ascii="Calibri" w:eastAsia="Times New Roman" w:hAnsi="Calibri" w:cs="Calibri"/>
                <w:color w:val="000000"/>
                <w:sz w:val="22"/>
              </w:rPr>
            </w:pPr>
            <w:r w:rsidRPr="00861D1E">
              <w:rPr>
                <w:rFonts w:ascii="Calibri" w:eastAsia="Times New Roman" w:hAnsi="Calibri" w:cs="Calibri"/>
                <w:color w:val="000000"/>
                <w:sz w:val="22"/>
              </w:rPr>
              <w:t>-413</w:t>
            </w:r>
          </w:p>
        </w:tc>
        <w:bookmarkStart w:id="0" w:name="_GoBack"/>
        <w:bookmarkEnd w:id="0"/>
      </w:tr>
    </w:tbl>
    <w:p w:rsidR="00861D1E" w:rsidRPr="00861D1E" w:rsidRDefault="00861D1E" w:rsidP="00861D1E">
      <w:pPr>
        <w:rPr>
          <w:szCs w:val="24"/>
        </w:rPr>
      </w:pPr>
    </w:p>
    <w:sectPr w:rsidR="00861D1E" w:rsidRPr="00861D1E" w:rsidSect="00861D1E">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Garamond">
    <w:panose1 w:val="02020404030301010803"/>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E1CCD"/>
    <w:rsid w:val="000C76CF"/>
    <w:rsid w:val="003E1CE3"/>
    <w:rsid w:val="004D28D5"/>
    <w:rsid w:val="00520B19"/>
    <w:rsid w:val="0063467D"/>
    <w:rsid w:val="007A4D95"/>
    <w:rsid w:val="007D2C67"/>
    <w:rsid w:val="007E3E15"/>
    <w:rsid w:val="00845172"/>
    <w:rsid w:val="00861D1E"/>
    <w:rsid w:val="00A10028"/>
    <w:rsid w:val="00AC0C47"/>
    <w:rsid w:val="00B75382"/>
    <w:rsid w:val="00BE1CCD"/>
    <w:rsid w:val="00C168B3"/>
    <w:rsid w:val="00D22015"/>
    <w:rsid w:val="00D426FB"/>
    <w:rsid w:val="00D7510D"/>
    <w:rsid w:val="00E618B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26136B5-AE55-481B-BA45-E2E4F52107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45172"/>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next w:val="Normal"/>
    <w:link w:val="SubtitleChar"/>
    <w:uiPriority w:val="11"/>
    <w:qFormat/>
    <w:rsid w:val="00845172"/>
    <w:pPr>
      <w:numPr>
        <w:ilvl w:val="1"/>
      </w:numPr>
      <w:spacing w:after="160"/>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845172"/>
    <w:rPr>
      <w:rFonts w:eastAsiaTheme="minorEastAsia"/>
      <w:color w:val="5A5A5A" w:themeColor="text1" w:themeTint="A5"/>
      <w:spacing w:val="15"/>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570542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MaineHousingWord">
  <a:themeElements>
    <a:clrScheme name="MaineHousingNew">
      <a:dk1>
        <a:srgbClr val="000000"/>
      </a:dk1>
      <a:lt1>
        <a:srgbClr val="FFFFFF"/>
      </a:lt1>
      <a:dk2>
        <a:srgbClr val="495869"/>
      </a:dk2>
      <a:lt2>
        <a:srgbClr val="EEECE1"/>
      </a:lt2>
      <a:accent1>
        <a:srgbClr val="495869"/>
      </a:accent1>
      <a:accent2>
        <a:srgbClr val="8AAF8E"/>
      </a:accent2>
      <a:accent3>
        <a:srgbClr val="F3C766"/>
      </a:accent3>
      <a:accent4>
        <a:srgbClr val="8CBDC8"/>
      </a:accent4>
      <a:accent5>
        <a:srgbClr val="899AAD"/>
      </a:accent5>
      <a:accent6>
        <a:srgbClr val="B9CFBB"/>
      </a:accent6>
      <a:hlink>
        <a:srgbClr val="495869"/>
      </a:hlink>
      <a:folHlink>
        <a:srgbClr val="8AAF8E"/>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511</Words>
  <Characters>2919</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MaineHousing</Company>
  <LinksUpToDate>false</LinksUpToDate>
  <CharactersWithSpaces>3424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Scott Tibbitts</dc:creator>
  <cp:keywords/>
  <dc:description/>
  <cp:lastModifiedBy>Scott Tibbitts</cp:lastModifiedBy>
  <cp:revision>4</cp:revision>
  <dcterms:created xsi:type="dcterms:W3CDTF">2025-07-09T19:10:00Z</dcterms:created>
  <dcterms:modified xsi:type="dcterms:W3CDTF">2025-07-09T19:28:00Z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martDox GUID">
    <vt:lpwstr>89abd246-96a8-4248-8025-e95411ebc3a8</vt:lpwstr>
  </property>
</Properties>
</file>