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F8C8" w14:textId="67149E95" w:rsidR="009F6B12" w:rsidRPr="00F5160A" w:rsidRDefault="005F09C4" w:rsidP="00FA3591">
      <w:pPr>
        <w:pStyle w:val="BodyText"/>
        <w:spacing w:before="0" w:beforeAutospacing="0" w:after="0" w:afterAutospacing="0"/>
        <w:contextualSpacing/>
        <w:jc w:val="center"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 xml:space="preserve">Maine Homeless Policy </w:t>
      </w:r>
      <w:r w:rsidR="00253342" w:rsidRPr="00F5160A">
        <w:rPr>
          <w:rFonts w:ascii="Cambria" w:hAnsi="Cambria" w:cs="Arial"/>
          <w:b/>
          <w:sz w:val="21"/>
          <w:szCs w:val="21"/>
        </w:rPr>
        <w:t xml:space="preserve">Committee – </w:t>
      </w:r>
      <w:r w:rsidRPr="00F5160A">
        <w:rPr>
          <w:rFonts w:ascii="Cambria" w:hAnsi="Cambria" w:cs="Arial"/>
          <w:b/>
          <w:sz w:val="21"/>
          <w:szCs w:val="21"/>
        </w:rPr>
        <w:t xml:space="preserve">Priorities </w:t>
      </w:r>
      <w:r w:rsidR="00253342" w:rsidRPr="00F5160A">
        <w:rPr>
          <w:rFonts w:ascii="Cambria" w:hAnsi="Cambria" w:cs="Arial"/>
          <w:b/>
          <w:sz w:val="21"/>
          <w:szCs w:val="21"/>
        </w:rPr>
        <w:t>&amp; Strategies for the 131</w:t>
      </w:r>
      <w:r w:rsidR="00253342" w:rsidRPr="00F5160A">
        <w:rPr>
          <w:rFonts w:ascii="Cambria" w:hAnsi="Cambria" w:cs="Arial"/>
          <w:b/>
          <w:sz w:val="21"/>
          <w:szCs w:val="21"/>
          <w:vertAlign w:val="superscript"/>
        </w:rPr>
        <w:t>st</w:t>
      </w:r>
      <w:r w:rsidR="00253342" w:rsidRPr="00F5160A">
        <w:rPr>
          <w:rFonts w:ascii="Cambria" w:hAnsi="Cambria" w:cs="Arial"/>
          <w:b/>
          <w:sz w:val="21"/>
          <w:szCs w:val="21"/>
        </w:rPr>
        <w:t xml:space="preserve"> Legislature</w:t>
      </w:r>
    </w:p>
    <w:p w14:paraId="7B99E8F0" w14:textId="77777777" w:rsidR="00FB0677" w:rsidRPr="00F5160A" w:rsidRDefault="00FB0677" w:rsidP="00FA3591">
      <w:pPr>
        <w:pStyle w:val="BodyText"/>
        <w:spacing w:before="0" w:beforeAutospacing="0" w:after="0" w:afterAutospacing="0"/>
        <w:contextualSpacing/>
        <w:jc w:val="center"/>
        <w:rPr>
          <w:rFonts w:ascii="Cambria" w:hAnsi="Cambria" w:cs="Arial"/>
          <w:b/>
          <w:sz w:val="21"/>
          <w:szCs w:val="21"/>
        </w:rPr>
      </w:pPr>
    </w:p>
    <w:p w14:paraId="6E5666F7" w14:textId="22493D95" w:rsidR="00786D30" w:rsidRPr="00F5160A" w:rsidRDefault="00A668F9" w:rsidP="00FA3591">
      <w:pPr>
        <w:pStyle w:val="BodyText"/>
        <w:spacing w:before="0" w:beforeAutospacing="0" w:after="0" w:afterAutospacing="0"/>
        <w:contextualSpacing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The </w:t>
      </w:r>
      <w:r w:rsidR="00253342" w:rsidRPr="00F5160A">
        <w:rPr>
          <w:rFonts w:ascii="Cambria" w:hAnsi="Cambria" w:cs="Arial"/>
          <w:sz w:val="21"/>
          <w:szCs w:val="21"/>
        </w:rPr>
        <w:t xml:space="preserve">Maine Homeless Policy Committee </w:t>
      </w:r>
      <w:r w:rsidR="00914FF4">
        <w:rPr>
          <w:rFonts w:ascii="Cambria" w:hAnsi="Cambria" w:cs="Arial"/>
          <w:sz w:val="21"/>
          <w:szCs w:val="21"/>
        </w:rPr>
        <w:t>has established a</w:t>
      </w:r>
      <w:r w:rsidRPr="00F5160A">
        <w:rPr>
          <w:rFonts w:ascii="Cambria" w:hAnsi="Cambria" w:cs="Arial"/>
          <w:sz w:val="21"/>
          <w:szCs w:val="21"/>
        </w:rPr>
        <w:t xml:space="preserve"> list of </w:t>
      </w:r>
      <w:r w:rsidR="00914FF4">
        <w:rPr>
          <w:rFonts w:ascii="Cambria" w:hAnsi="Cambria" w:cs="Arial"/>
          <w:sz w:val="21"/>
          <w:szCs w:val="21"/>
        </w:rPr>
        <w:t xml:space="preserve">State Legislature </w:t>
      </w:r>
      <w:r w:rsidRPr="00F5160A">
        <w:rPr>
          <w:rFonts w:ascii="Cambria" w:hAnsi="Cambria" w:cs="Arial"/>
          <w:sz w:val="21"/>
          <w:szCs w:val="21"/>
        </w:rPr>
        <w:t>policy priorities/</w:t>
      </w:r>
      <w:r w:rsidR="00914FF4">
        <w:rPr>
          <w:rFonts w:ascii="Cambria" w:hAnsi="Cambria" w:cs="Arial"/>
          <w:sz w:val="21"/>
          <w:szCs w:val="21"/>
        </w:rPr>
        <w:t>bill themes</w:t>
      </w:r>
      <w:r w:rsidRPr="00F5160A">
        <w:rPr>
          <w:rFonts w:ascii="Cambria" w:hAnsi="Cambria" w:cs="Arial"/>
          <w:sz w:val="21"/>
          <w:szCs w:val="21"/>
        </w:rPr>
        <w:t xml:space="preserve">.  Each priority is </w:t>
      </w:r>
      <w:r w:rsidR="00914FF4">
        <w:rPr>
          <w:rFonts w:ascii="Cambria" w:hAnsi="Cambria" w:cs="Arial"/>
          <w:sz w:val="21"/>
          <w:szCs w:val="21"/>
        </w:rPr>
        <w:t>sequenced with</w:t>
      </w:r>
      <w:r w:rsidRPr="00F5160A">
        <w:rPr>
          <w:rFonts w:ascii="Cambria" w:hAnsi="Cambria" w:cs="Arial"/>
          <w:sz w:val="21"/>
          <w:szCs w:val="21"/>
        </w:rPr>
        <w:t xml:space="preserve"> the Goals of Maine’s Plan to End and Prevent Homelessness.  </w:t>
      </w:r>
    </w:p>
    <w:p w14:paraId="3B90E089" w14:textId="57F161B6" w:rsidR="00474552" w:rsidRPr="00F5160A" w:rsidRDefault="00474552" w:rsidP="00FA3591">
      <w:pPr>
        <w:pStyle w:val="BodyText"/>
        <w:spacing w:before="0" w:beforeAutospacing="0" w:after="0" w:afterAutospacing="0"/>
        <w:contextualSpacing/>
        <w:rPr>
          <w:rFonts w:ascii="Cambria" w:hAnsi="Cambria" w:cs="Arial"/>
          <w:sz w:val="21"/>
          <w:szCs w:val="21"/>
        </w:rPr>
      </w:pPr>
    </w:p>
    <w:p w14:paraId="2C2AD04E" w14:textId="623E589C" w:rsidR="00B524B5" w:rsidRPr="00F5160A" w:rsidRDefault="00926F67" w:rsidP="00B524B5">
      <w:pPr>
        <w:rPr>
          <w:sz w:val="21"/>
          <w:szCs w:val="21"/>
        </w:rPr>
      </w:pPr>
      <w:r w:rsidRPr="00F5160A"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8D65A0" wp14:editId="6AF8E430">
                <wp:simplePos x="0" y="0"/>
                <wp:positionH relativeFrom="margin">
                  <wp:posOffset>-76200</wp:posOffset>
                </wp:positionH>
                <wp:positionV relativeFrom="paragraph">
                  <wp:posOffset>31115</wp:posOffset>
                </wp:positionV>
                <wp:extent cx="6995795" cy="3257550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3257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DE735A" id="Rectangle 1" o:spid="_x0000_s1026" style="position:absolute;margin-left:-6pt;margin-top:2.45pt;width:550.85pt;height:2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" fillcolor="#5b9bd5 [3204]" strokecolor="#1f4d78 [1604]" strokeweight="1pt">
                <v:fill opacity="4626f"/>
                <w10:wrap anchorx="margin"/>
              </v:rect>
            </w:pict>
          </mc:Fallback>
        </mc:AlternateContent>
      </w:r>
    </w:p>
    <w:p w14:paraId="0185FB89" w14:textId="0D6C2C8B" w:rsidR="00B524B5" w:rsidRPr="00F5160A" w:rsidRDefault="00914FF4" w:rsidP="00553D95">
      <w:pPr>
        <w:pStyle w:val="BodyText"/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Priorities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:  </w:t>
      </w:r>
    </w:p>
    <w:p w14:paraId="45E8FE54" w14:textId="47408516" w:rsidR="00B524B5" w:rsidRPr="00F5160A" w:rsidRDefault="00F6695D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Fund </w:t>
      </w:r>
      <w:r w:rsidR="00C426B3">
        <w:rPr>
          <w:rFonts w:ascii="Cambria" w:hAnsi="Cambria" w:cs="Arial"/>
          <w:b/>
          <w:sz w:val="21"/>
          <w:szCs w:val="21"/>
        </w:rPr>
        <w:t>emergency</w:t>
      </w:r>
      <w:r>
        <w:rPr>
          <w:rFonts w:ascii="Cambria" w:hAnsi="Cambria" w:cs="Arial"/>
          <w:b/>
          <w:sz w:val="21"/>
          <w:szCs w:val="21"/>
        </w:rPr>
        <w:t xml:space="preserve"> shelters</w:t>
      </w:r>
      <w:r w:rsidR="008567C3">
        <w:rPr>
          <w:rFonts w:ascii="Cambria" w:hAnsi="Cambria" w:cs="Arial"/>
          <w:b/>
          <w:sz w:val="21"/>
          <w:szCs w:val="21"/>
        </w:rPr>
        <w:t>.</w:t>
      </w:r>
      <w:r>
        <w:rPr>
          <w:rFonts w:ascii="Cambria" w:hAnsi="Cambria" w:cs="Arial"/>
          <w:b/>
          <w:sz w:val="21"/>
          <w:szCs w:val="21"/>
        </w:rPr>
        <w:t xml:space="preserve">  </w:t>
      </w:r>
      <w:r w:rsidR="00B524B5" w:rsidRPr="00F5160A">
        <w:rPr>
          <w:rFonts w:ascii="Cambria" w:hAnsi="Cambria" w:cs="Arial"/>
          <w:b/>
          <w:sz w:val="21"/>
          <w:szCs w:val="21"/>
        </w:rPr>
        <w:t>Develop longer-term sustainable resources for</w:t>
      </w:r>
      <w:r w:rsidR="00914FF4">
        <w:rPr>
          <w:rFonts w:ascii="Cambria" w:hAnsi="Cambria" w:cs="Arial"/>
          <w:b/>
          <w:sz w:val="21"/>
          <w:szCs w:val="21"/>
        </w:rPr>
        <w:t xml:space="preserve"> emergency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shelters</w:t>
      </w:r>
      <w:r w:rsidR="008567C3">
        <w:rPr>
          <w:rFonts w:ascii="Cambria" w:hAnsi="Cambria" w:cs="Arial"/>
          <w:b/>
          <w:sz w:val="21"/>
          <w:szCs w:val="21"/>
        </w:rPr>
        <w:t>,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</w:t>
      </w:r>
      <w:r w:rsidR="00C426B3">
        <w:rPr>
          <w:rFonts w:ascii="Cambria" w:hAnsi="Cambria" w:cs="Arial"/>
          <w:b/>
          <w:sz w:val="21"/>
          <w:szCs w:val="21"/>
        </w:rPr>
        <w:t>p</w:t>
      </w:r>
      <w:r w:rsidR="00EF136B">
        <w:rPr>
          <w:rFonts w:ascii="Cambria" w:hAnsi="Cambria" w:cs="Arial"/>
          <w:b/>
          <w:sz w:val="21"/>
          <w:szCs w:val="21"/>
        </w:rPr>
        <w:t>romote the transition to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low-barrier shelters </w:t>
      </w:r>
      <w:r w:rsidR="00914FF4">
        <w:rPr>
          <w:rFonts w:ascii="Cambria" w:hAnsi="Cambria" w:cs="Arial"/>
          <w:b/>
          <w:sz w:val="21"/>
          <w:szCs w:val="21"/>
        </w:rPr>
        <w:t>and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non-congregate shelters</w:t>
      </w:r>
      <w:r w:rsidR="008567C3">
        <w:rPr>
          <w:rFonts w:ascii="Cambria" w:hAnsi="Cambria" w:cs="Arial"/>
          <w:b/>
          <w:sz w:val="21"/>
          <w:szCs w:val="21"/>
        </w:rPr>
        <w:t>,</w:t>
      </w:r>
      <w:r w:rsidR="00EF136B">
        <w:rPr>
          <w:rFonts w:ascii="Cambria" w:hAnsi="Cambria" w:cs="Arial"/>
          <w:b/>
          <w:sz w:val="21"/>
          <w:szCs w:val="21"/>
        </w:rPr>
        <w:t xml:space="preserve"> and fund shelter operations and further best practices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.  </w:t>
      </w:r>
    </w:p>
    <w:p w14:paraId="2F8ACC87" w14:textId="52B8B05F" w:rsidR="00B524B5" w:rsidRPr="00F5160A" w:rsidRDefault="00F6695D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End outdoor homelessness.  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Advocate for resources to establish </w:t>
      </w:r>
      <w:r w:rsidR="00926F67">
        <w:rPr>
          <w:rFonts w:ascii="Cambria" w:hAnsi="Cambria" w:cs="Arial"/>
          <w:b/>
          <w:sz w:val="21"/>
          <w:szCs w:val="21"/>
        </w:rPr>
        <w:t>30-40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</w:t>
      </w:r>
      <w:r w:rsidR="00926F67">
        <w:rPr>
          <w:rFonts w:ascii="Cambria" w:hAnsi="Cambria" w:cs="Arial"/>
          <w:b/>
          <w:sz w:val="21"/>
          <w:szCs w:val="21"/>
        </w:rPr>
        <w:t xml:space="preserve">motel or </w:t>
      </w:r>
      <w:r w:rsidR="00C426B3">
        <w:rPr>
          <w:rFonts w:ascii="Cambria" w:hAnsi="Cambria" w:cs="Arial"/>
          <w:b/>
          <w:sz w:val="21"/>
          <w:szCs w:val="21"/>
        </w:rPr>
        <w:t>non-congregate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</w:t>
      </w:r>
      <w:r w:rsidR="00926F67">
        <w:rPr>
          <w:rFonts w:ascii="Cambria" w:hAnsi="Cambria" w:cs="Arial"/>
          <w:b/>
          <w:sz w:val="21"/>
          <w:szCs w:val="21"/>
        </w:rPr>
        <w:t xml:space="preserve">accommodations </w:t>
      </w:r>
      <w:r w:rsidR="00B524B5" w:rsidRPr="00F5160A">
        <w:rPr>
          <w:rFonts w:ascii="Cambria" w:hAnsi="Cambria" w:cs="Arial"/>
          <w:b/>
          <w:sz w:val="21"/>
          <w:szCs w:val="21"/>
        </w:rPr>
        <w:t>across the state for Long Term Stayers who remain unsheltered due to a lack of access to shelter or housing.</w:t>
      </w:r>
    </w:p>
    <w:p w14:paraId="0C0F56EB" w14:textId="2C385BDF" w:rsidR="00B524B5" w:rsidRPr="00F5160A" w:rsidRDefault="00926F67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Ensure an adequate supply of</w:t>
      </w:r>
      <w:r w:rsidR="00F6695D">
        <w:rPr>
          <w:rFonts w:ascii="Cambria" w:hAnsi="Cambria" w:cs="Arial"/>
          <w:b/>
          <w:sz w:val="21"/>
          <w:szCs w:val="21"/>
        </w:rPr>
        <w:t xml:space="preserve"> housing.  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Increase the supply of </w:t>
      </w:r>
      <w:r w:rsidR="00C426B3">
        <w:rPr>
          <w:rFonts w:ascii="Cambria" w:hAnsi="Cambria" w:cs="Arial"/>
          <w:b/>
          <w:sz w:val="21"/>
          <w:szCs w:val="21"/>
        </w:rPr>
        <w:t>low-income</w:t>
      </w:r>
      <w:r w:rsidR="00B524B5" w:rsidRPr="00F5160A">
        <w:rPr>
          <w:rFonts w:ascii="Cambria" w:hAnsi="Cambria" w:cs="Arial"/>
          <w:b/>
          <w:sz w:val="21"/>
          <w:szCs w:val="21"/>
        </w:rPr>
        <w:t xml:space="preserve"> and supportive housing.</w:t>
      </w:r>
    </w:p>
    <w:p w14:paraId="428948C5" w14:textId="0FD13FDB" w:rsidR="00B524B5" w:rsidRPr="00F5160A" w:rsidRDefault="00F6695D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Ensure there </w:t>
      </w:r>
      <w:r w:rsidR="00E14C47">
        <w:rPr>
          <w:rFonts w:ascii="Cambria" w:hAnsi="Cambria" w:cs="Arial"/>
          <w:b/>
          <w:sz w:val="21"/>
          <w:szCs w:val="21"/>
        </w:rPr>
        <w:t>is an adequate</w:t>
      </w:r>
      <w:r>
        <w:rPr>
          <w:rFonts w:ascii="Cambria" w:hAnsi="Cambria" w:cs="Arial"/>
          <w:b/>
          <w:sz w:val="21"/>
          <w:szCs w:val="21"/>
        </w:rPr>
        <w:t xml:space="preserve"> safety net.  </w:t>
      </w:r>
      <w:r w:rsidR="00553D95" w:rsidRPr="00F5160A">
        <w:rPr>
          <w:rFonts w:ascii="Cambria" w:hAnsi="Cambria" w:cs="Arial"/>
          <w:b/>
          <w:sz w:val="21"/>
          <w:szCs w:val="21"/>
        </w:rPr>
        <w:t>Improve and simplify General Assistance (GA) laws/policies to remove barriers and simplify access/use specifically for housing.</w:t>
      </w:r>
    </w:p>
    <w:p w14:paraId="77EEB2C1" w14:textId="6366700E" w:rsidR="00553D95" w:rsidRPr="00F5160A" w:rsidRDefault="00553D95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>Create Flexible Outreach Workers or Intensive Case Managers</w:t>
      </w:r>
      <w:r w:rsidR="00F6695D">
        <w:rPr>
          <w:rFonts w:ascii="Cambria" w:hAnsi="Cambria" w:cs="Arial"/>
          <w:b/>
          <w:sz w:val="21"/>
          <w:szCs w:val="21"/>
        </w:rPr>
        <w:t>.  Use these positions to engage challenging populations, ensure continuity of care, and stabilize people in</w:t>
      </w:r>
      <w:r w:rsidRPr="00F5160A">
        <w:rPr>
          <w:rFonts w:ascii="Cambria" w:hAnsi="Cambria" w:cs="Arial"/>
          <w:b/>
          <w:sz w:val="21"/>
          <w:szCs w:val="21"/>
        </w:rPr>
        <w:t xml:space="preserve"> permanent supportive housing.</w:t>
      </w:r>
    </w:p>
    <w:p w14:paraId="6E76099F" w14:textId="7CB4DC11" w:rsidR="00786D30" w:rsidRPr="00F5160A" w:rsidRDefault="00553D95" w:rsidP="00553D95">
      <w:pPr>
        <w:pStyle w:val="BodyText"/>
        <w:numPr>
          <w:ilvl w:val="0"/>
          <w:numId w:val="26"/>
        </w:numPr>
        <w:spacing w:before="0" w:beforeAutospacing="0" w:after="120" w:afterAutospacing="0"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>Decriminalize homelessness.</w:t>
      </w:r>
      <w:r w:rsidR="00E14C47">
        <w:rPr>
          <w:rFonts w:ascii="Cambria" w:hAnsi="Cambria" w:cs="Arial"/>
          <w:b/>
          <w:sz w:val="21"/>
          <w:szCs w:val="21"/>
        </w:rPr>
        <w:t xml:space="preserve">  Housing is </w:t>
      </w:r>
      <w:r w:rsidR="00D37F45">
        <w:rPr>
          <w:rFonts w:ascii="Cambria" w:hAnsi="Cambria" w:cs="Arial"/>
          <w:b/>
          <w:sz w:val="21"/>
          <w:szCs w:val="21"/>
        </w:rPr>
        <w:t xml:space="preserve">less expensive </w:t>
      </w:r>
      <w:r w:rsidR="00E14C47">
        <w:rPr>
          <w:rFonts w:ascii="Cambria" w:hAnsi="Cambria" w:cs="Arial"/>
          <w:b/>
          <w:sz w:val="21"/>
          <w:szCs w:val="21"/>
        </w:rPr>
        <w:t xml:space="preserve">and much more effective than jail.  Properly serve people with serious and persistent mental illness and substance use disorders and solve for housing in Maine’s approach.  </w:t>
      </w:r>
    </w:p>
    <w:p w14:paraId="27E1CB3F" w14:textId="406FAFDD" w:rsidR="00B524B5" w:rsidRDefault="00B524B5" w:rsidP="00FA3591">
      <w:pPr>
        <w:pStyle w:val="BodyText"/>
        <w:spacing w:before="0" w:beforeAutospacing="0" w:after="0" w:afterAutospacing="0"/>
        <w:contextualSpacing/>
        <w:rPr>
          <w:rFonts w:ascii="Cambria" w:hAnsi="Cambria" w:cs="Arial"/>
          <w:sz w:val="19"/>
          <w:szCs w:val="19"/>
        </w:rPr>
      </w:pPr>
    </w:p>
    <w:p w14:paraId="17BA819C" w14:textId="77777777" w:rsidR="00374604" w:rsidRDefault="00374604" w:rsidP="00FA3591">
      <w:pPr>
        <w:pStyle w:val="BodyText"/>
        <w:spacing w:before="0" w:beforeAutospacing="0" w:after="0" w:afterAutospacing="0"/>
        <w:contextualSpacing/>
        <w:rPr>
          <w:rFonts w:ascii="Cambria" w:hAnsi="Cambria" w:cs="Arial"/>
          <w:sz w:val="19"/>
          <w:szCs w:val="19"/>
        </w:rPr>
      </w:pPr>
    </w:p>
    <w:p w14:paraId="0071355C" w14:textId="6CD9C7F7" w:rsidR="00842C75" w:rsidRPr="00F5160A" w:rsidRDefault="00253342" w:rsidP="00B524B5">
      <w:pPr>
        <w:pStyle w:val="BodyText"/>
        <w:numPr>
          <w:ilvl w:val="0"/>
          <w:numId w:val="25"/>
        </w:numPr>
        <w:spacing w:before="0" w:beforeAutospacing="0" w:after="0" w:afterAutospacing="0"/>
        <w:ind w:left="360"/>
        <w:contextualSpacing/>
        <w:rPr>
          <w:rFonts w:ascii="Cambria" w:hAnsi="Cambria" w:cs="Arial"/>
          <w:b/>
          <w:sz w:val="21"/>
          <w:szCs w:val="21"/>
        </w:rPr>
      </w:pPr>
      <w:bookmarkStart w:id="0" w:name="_Hlk14438040"/>
      <w:r w:rsidRPr="00F5160A">
        <w:rPr>
          <w:rFonts w:ascii="Cambria" w:hAnsi="Cambria" w:cs="Arial"/>
          <w:b/>
          <w:sz w:val="21"/>
          <w:szCs w:val="21"/>
        </w:rPr>
        <w:t>Goal I</w:t>
      </w:r>
      <w:r w:rsidR="00E14C47">
        <w:rPr>
          <w:rFonts w:ascii="Cambria" w:hAnsi="Cambria" w:cs="Arial"/>
          <w:b/>
          <w:sz w:val="21"/>
          <w:szCs w:val="21"/>
        </w:rPr>
        <w:t xml:space="preserve"> - </w:t>
      </w:r>
      <w:r w:rsidRPr="00F5160A">
        <w:rPr>
          <w:rFonts w:ascii="Cambria" w:hAnsi="Cambria" w:cs="Arial"/>
          <w:b/>
          <w:sz w:val="21"/>
          <w:szCs w:val="21"/>
        </w:rPr>
        <w:t>Shelters/coordination from homelessness through to housing/sharing of best practices</w:t>
      </w:r>
      <w:r w:rsidR="00842C75" w:rsidRPr="00F5160A">
        <w:rPr>
          <w:rFonts w:ascii="Cambria" w:hAnsi="Cambria" w:cs="Arial"/>
          <w:b/>
          <w:sz w:val="21"/>
          <w:szCs w:val="21"/>
        </w:rPr>
        <w:t xml:space="preserve">:  </w:t>
      </w:r>
    </w:p>
    <w:p w14:paraId="1D730166" w14:textId="624CF265" w:rsidR="00253342" w:rsidRPr="00F5160A" w:rsidRDefault="00374604" w:rsidP="00253342">
      <w:pPr>
        <w:pStyle w:val="ListParagraph"/>
        <w:numPr>
          <w:ilvl w:val="0"/>
          <w:numId w:val="20"/>
        </w:numPr>
        <w:ind w:left="720"/>
        <w:rPr>
          <w:rFonts w:ascii="Cambria" w:eastAsiaTheme="minorHAnsi" w:hAnsi="Cambria" w:cs="Arial"/>
          <w:bCs/>
          <w:sz w:val="21"/>
          <w:szCs w:val="21"/>
        </w:rPr>
      </w:pPr>
      <w:r w:rsidRPr="00F5160A">
        <w:rPr>
          <w:rFonts w:ascii="Cambria" w:eastAsiaTheme="minorHAnsi" w:hAnsi="Cambria" w:cs="Arial"/>
          <w:bCs/>
          <w:sz w:val="21"/>
          <w:szCs w:val="21"/>
        </w:rPr>
        <w:t xml:space="preserve">Develop longer-term, sustainable resources for shelters, </w:t>
      </w:r>
      <w:r w:rsidR="00DA08A7">
        <w:rPr>
          <w:rFonts w:ascii="Cambria" w:eastAsiaTheme="minorHAnsi" w:hAnsi="Cambria" w:cs="Arial"/>
          <w:bCs/>
          <w:sz w:val="21"/>
          <w:szCs w:val="21"/>
        </w:rPr>
        <w:t>including</w:t>
      </w:r>
      <w:r w:rsidRPr="00F5160A">
        <w:rPr>
          <w:rFonts w:ascii="Cambria" w:eastAsiaTheme="minorHAnsi" w:hAnsi="Cambria" w:cs="Arial"/>
          <w:bCs/>
          <w:sz w:val="21"/>
          <w:szCs w:val="21"/>
        </w:rPr>
        <w:t xml:space="preserve"> low-barrier </w:t>
      </w:r>
      <w:r>
        <w:rPr>
          <w:rFonts w:ascii="Cambria" w:eastAsiaTheme="minorHAnsi" w:hAnsi="Cambria" w:cs="Arial"/>
          <w:bCs/>
          <w:sz w:val="21"/>
          <w:szCs w:val="21"/>
        </w:rPr>
        <w:t>and</w:t>
      </w:r>
      <w:r w:rsidRPr="00F5160A">
        <w:rPr>
          <w:rFonts w:ascii="Cambria" w:eastAsiaTheme="minorHAnsi" w:hAnsi="Cambria" w:cs="Arial"/>
          <w:bCs/>
          <w:sz w:val="21"/>
          <w:szCs w:val="21"/>
        </w:rPr>
        <w:t xml:space="preserve"> non-congregate shelters. </w:t>
      </w:r>
      <w:r w:rsidR="00253342" w:rsidRPr="00F5160A">
        <w:rPr>
          <w:rFonts w:ascii="Cambria" w:eastAsiaTheme="minorHAnsi" w:hAnsi="Cambria" w:cs="Arial"/>
          <w:bCs/>
          <w:sz w:val="21"/>
          <w:szCs w:val="21"/>
        </w:rPr>
        <w:t xml:space="preserve">Fund shelter operations and further best practices. </w:t>
      </w:r>
      <w:r w:rsidR="00E14C47">
        <w:rPr>
          <w:rFonts w:ascii="Cambria" w:eastAsiaTheme="minorHAnsi" w:hAnsi="Cambria" w:cs="Arial"/>
          <w:bCs/>
          <w:sz w:val="21"/>
          <w:szCs w:val="21"/>
        </w:rPr>
        <w:t xml:space="preserve"> I</w:t>
      </w:r>
      <w:r w:rsidR="00253342" w:rsidRPr="00F5160A">
        <w:rPr>
          <w:rFonts w:ascii="Cambria" w:eastAsiaTheme="minorHAnsi" w:hAnsi="Cambria" w:cs="Arial"/>
          <w:bCs/>
          <w:sz w:val="21"/>
          <w:szCs w:val="21"/>
        </w:rPr>
        <w:t xml:space="preserve">mplement best practices; scaffold up funding to fully deliver these best practices. </w:t>
      </w:r>
    </w:p>
    <w:p w14:paraId="68856190" w14:textId="5542525D" w:rsidR="00253342" w:rsidRPr="00F5160A" w:rsidRDefault="008C50BF" w:rsidP="00253342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eastAsiaTheme="minorHAnsi" w:hAnsi="Cambria" w:cs="Arial"/>
          <w:bCs/>
          <w:sz w:val="21"/>
          <w:szCs w:val="21"/>
        </w:rPr>
      </w:pPr>
      <w:r>
        <w:rPr>
          <w:rFonts w:ascii="Cambria" w:eastAsiaTheme="minorHAnsi" w:hAnsi="Cambria" w:cs="Arial"/>
          <w:bCs/>
          <w:sz w:val="21"/>
          <w:szCs w:val="21"/>
        </w:rPr>
        <w:t>Invest in adapting</w:t>
      </w:r>
      <w:r w:rsidR="00253342" w:rsidRPr="00F5160A">
        <w:rPr>
          <w:rFonts w:ascii="Cambria" w:eastAsiaTheme="minorHAnsi" w:hAnsi="Cambria" w:cs="Arial"/>
          <w:bCs/>
          <w:sz w:val="21"/>
          <w:szCs w:val="21"/>
        </w:rPr>
        <w:t xml:space="preserve"> </w:t>
      </w:r>
      <w:r>
        <w:rPr>
          <w:rFonts w:ascii="Cambria" w:eastAsiaTheme="minorHAnsi" w:hAnsi="Cambria" w:cs="Arial"/>
          <w:bCs/>
          <w:sz w:val="21"/>
          <w:szCs w:val="21"/>
        </w:rPr>
        <w:t xml:space="preserve">shelter </w:t>
      </w:r>
      <w:r w:rsidR="00253342" w:rsidRPr="00F5160A">
        <w:rPr>
          <w:rFonts w:ascii="Cambria" w:eastAsiaTheme="minorHAnsi" w:hAnsi="Cambria" w:cs="Arial"/>
          <w:bCs/>
          <w:sz w:val="21"/>
          <w:szCs w:val="21"/>
        </w:rPr>
        <w:t xml:space="preserve">settings to </w:t>
      </w:r>
      <w:r w:rsidR="00E14C47" w:rsidRPr="00F5160A">
        <w:rPr>
          <w:rFonts w:ascii="Cambria" w:eastAsiaTheme="minorHAnsi" w:hAnsi="Cambria" w:cs="Arial"/>
          <w:bCs/>
          <w:sz w:val="21"/>
          <w:szCs w:val="21"/>
        </w:rPr>
        <w:t xml:space="preserve">lower barriers </w:t>
      </w:r>
      <w:r w:rsidR="00E14C47">
        <w:rPr>
          <w:rFonts w:ascii="Cambria" w:eastAsiaTheme="minorHAnsi" w:hAnsi="Cambria" w:cs="Arial"/>
          <w:bCs/>
          <w:sz w:val="21"/>
          <w:szCs w:val="21"/>
        </w:rPr>
        <w:t xml:space="preserve">and </w:t>
      </w:r>
      <w:r w:rsidR="00253342" w:rsidRPr="00F5160A">
        <w:rPr>
          <w:rFonts w:ascii="Cambria" w:eastAsiaTheme="minorHAnsi" w:hAnsi="Cambria" w:cs="Arial"/>
          <w:bCs/>
          <w:sz w:val="21"/>
          <w:szCs w:val="21"/>
        </w:rPr>
        <w:t>accommodate needs.</w:t>
      </w:r>
    </w:p>
    <w:p w14:paraId="5FFCD1BD" w14:textId="4B533B75" w:rsidR="00253342" w:rsidRPr="00F5160A" w:rsidRDefault="00253342" w:rsidP="00253342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eastAsiaTheme="minorHAnsi" w:hAnsi="Cambria" w:cs="Arial"/>
          <w:bCs/>
          <w:sz w:val="21"/>
          <w:szCs w:val="21"/>
        </w:rPr>
      </w:pPr>
      <w:r w:rsidRPr="00F5160A">
        <w:rPr>
          <w:rFonts w:ascii="Cambria" w:eastAsiaTheme="minorHAnsi" w:hAnsi="Cambria" w:cs="Arial"/>
          <w:bCs/>
          <w:sz w:val="21"/>
          <w:szCs w:val="21"/>
        </w:rPr>
        <w:t>Ensure there are warming centers and other sufficient locations for people to go in all worrisome weather</w:t>
      </w:r>
      <w:r w:rsidR="0033680C">
        <w:rPr>
          <w:rFonts w:ascii="Cambria" w:eastAsiaTheme="minorHAnsi" w:hAnsi="Cambria" w:cs="Arial"/>
          <w:bCs/>
          <w:sz w:val="21"/>
          <w:szCs w:val="21"/>
        </w:rPr>
        <w:t xml:space="preserve"> and look to ensure an adequate supply of accessible sanitation facilities for people who are outside</w:t>
      </w:r>
      <w:r w:rsidRPr="00F5160A">
        <w:rPr>
          <w:rFonts w:ascii="Cambria" w:eastAsiaTheme="minorHAnsi" w:hAnsi="Cambria" w:cs="Arial"/>
          <w:bCs/>
          <w:sz w:val="21"/>
          <w:szCs w:val="21"/>
        </w:rPr>
        <w:t xml:space="preserve">. </w:t>
      </w:r>
    </w:p>
    <w:p w14:paraId="64406B1B" w14:textId="4AF1E54A" w:rsidR="00253342" w:rsidRPr="00F5160A" w:rsidRDefault="00253342" w:rsidP="00253342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eastAsiaTheme="minorHAnsi" w:hAnsi="Cambria" w:cs="Arial"/>
          <w:bCs/>
          <w:sz w:val="21"/>
          <w:szCs w:val="21"/>
        </w:rPr>
      </w:pPr>
      <w:r w:rsidRPr="00F5160A">
        <w:rPr>
          <w:rFonts w:ascii="Cambria" w:eastAsiaTheme="minorHAnsi" w:hAnsi="Cambria" w:cs="Arial"/>
          <w:bCs/>
          <w:sz w:val="21"/>
          <w:szCs w:val="21"/>
        </w:rPr>
        <w:t>Boost outreach and housing first response to unsheltered homelessness and encampments</w:t>
      </w:r>
      <w:r w:rsidR="00374604">
        <w:rPr>
          <w:rFonts w:ascii="Cambria" w:eastAsiaTheme="minorHAnsi" w:hAnsi="Cambria" w:cs="Arial"/>
          <w:bCs/>
          <w:sz w:val="21"/>
          <w:szCs w:val="21"/>
        </w:rPr>
        <w:t>. Be</w:t>
      </w:r>
      <w:r w:rsidRPr="00F5160A">
        <w:rPr>
          <w:rFonts w:ascii="Cambria" w:eastAsiaTheme="minorHAnsi" w:hAnsi="Cambria" w:cs="Arial"/>
          <w:bCs/>
          <w:sz w:val="21"/>
          <w:szCs w:val="21"/>
        </w:rPr>
        <w:t xml:space="preserve"> proactive, preventive, and solution oriented.  </w:t>
      </w:r>
    </w:p>
    <w:p w14:paraId="0EB7ADE1" w14:textId="63CB524A" w:rsidR="00253342" w:rsidRPr="00F5160A" w:rsidRDefault="00374604" w:rsidP="00253342">
      <w:pPr>
        <w:pStyle w:val="ListParagraph"/>
        <w:numPr>
          <w:ilvl w:val="0"/>
          <w:numId w:val="20"/>
        </w:numPr>
        <w:ind w:left="720"/>
        <w:rPr>
          <w:rFonts w:ascii="Cambria" w:eastAsiaTheme="minorHAnsi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Set aside </w:t>
      </w:r>
      <w:r w:rsidRPr="00F5160A">
        <w:rPr>
          <w:rFonts w:ascii="Cambria" w:hAnsi="Cambria" w:cs="Arial"/>
          <w:bCs/>
          <w:sz w:val="21"/>
          <w:szCs w:val="21"/>
        </w:rPr>
        <w:t xml:space="preserve">resources to establish 30-40 </w:t>
      </w:r>
      <w:r w:rsidR="00396C12">
        <w:rPr>
          <w:rFonts w:ascii="Cambria" w:hAnsi="Cambria" w:cs="Arial"/>
          <w:bCs/>
          <w:sz w:val="21"/>
          <w:szCs w:val="21"/>
        </w:rPr>
        <w:t>motel or non-congregate</w:t>
      </w:r>
      <w:r w:rsidRPr="00F5160A">
        <w:rPr>
          <w:rFonts w:ascii="Cambria" w:hAnsi="Cambria" w:cs="Arial"/>
          <w:bCs/>
          <w:sz w:val="21"/>
          <w:szCs w:val="21"/>
        </w:rPr>
        <w:t xml:space="preserve"> </w:t>
      </w:r>
      <w:r w:rsidR="00396C12">
        <w:rPr>
          <w:rFonts w:ascii="Cambria" w:hAnsi="Cambria" w:cs="Arial"/>
          <w:bCs/>
          <w:sz w:val="21"/>
          <w:szCs w:val="21"/>
        </w:rPr>
        <w:t>accommodations</w:t>
      </w:r>
      <w:r w:rsidRPr="00F5160A">
        <w:rPr>
          <w:rFonts w:ascii="Cambria" w:hAnsi="Cambria" w:cs="Arial"/>
          <w:bCs/>
          <w:sz w:val="21"/>
          <w:szCs w:val="21"/>
        </w:rPr>
        <w:t xml:space="preserve"> in areas across the state for </w:t>
      </w:r>
      <w:r>
        <w:rPr>
          <w:rFonts w:ascii="Cambria" w:hAnsi="Cambria" w:cs="Arial"/>
          <w:bCs/>
          <w:sz w:val="21"/>
          <w:szCs w:val="21"/>
        </w:rPr>
        <w:t xml:space="preserve">people languishing outside - </w:t>
      </w:r>
      <w:r w:rsidRPr="00F5160A">
        <w:rPr>
          <w:rFonts w:ascii="Cambria" w:hAnsi="Cambria" w:cs="Arial"/>
          <w:bCs/>
          <w:sz w:val="21"/>
          <w:szCs w:val="21"/>
        </w:rPr>
        <w:t xml:space="preserve">Long Term Stayers who remain unsheltered due to a lack of access to shelter or housing. </w:t>
      </w:r>
      <w:r w:rsidR="00253342" w:rsidRPr="00F5160A">
        <w:rPr>
          <w:rFonts w:ascii="Cambria" w:hAnsi="Cambria" w:cs="Arial"/>
          <w:bCs/>
          <w:sz w:val="21"/>
          <w:szCs w:val="21"/>
        </w:rPr>
        <w:t>Hoteling people experiencing unsheltered homelessness</w:t>
      </w:r>
      <w:r w:rsidR="00DA08A7">
        <w:rPr>
          <w:rFonts w:ascii="Cambria" w:hAnsi="Cambria" w:cs="Arial"/>
          <w:bCs/>
          <w:sz w:val="21"/>
          <w:szCs w:val="21"/>
        </w:rPr>
        <w:t xml:space="preserve">, when done correctly, </w:t>
      </w:r>
      <w:r w:rsidR="00253342" w:rsidRPr="00F5160A">
        <w:rPr>
          <w:rFonts w:ascii="Cambria" w:hAnsi="Cambria" w:cs="Arial"/>
          <w:bCs/>
          <w:sz w:val="21"/>
          <w:szCs w:val="21"/>
        </w:rPr>
        <w:t xml:space="preserve">has been a successful intervention with long term benefits </w:t>
      </w:r>
      <w:r>
        <w:rPr>
          <w:rFonts w:ascii="Cambria" w:hAnsi="Cambria" w:cs="Arial"/>
          <w:bCs/>
          <w:sz w:val="21"/>
          <w:szCs w:val="21"/>
        </w:rPr>
        <w:t xml:space="preserve">because of </w:t>
      </w:r>
      <w:r w:rsidR="00253342" w:rsidRPr="00F5160A">
        <w:rPr>
          <w:rFonts w:ascii="Cambria" w:hAnsi="Cambria" w:cs="Arial"/>
          <w:bCs/>
          <w:sz w:val="21"/>
          <w:szCs w:val="21"/>
        </w:rPr>
        <w:t>being person centered and trauma informed.  Continu</w:t>
      </w:r>
      <w:r>
        <w:rPr>
          <w:rFonts w:ascii="Cambria" w:hAnsi="Cambria" w:cs="Arial"/>
          <w:bCs/>
          <w:sz w:val="21"/>
          <w:szCs w:val="21"/>
        </w:rPr>
        <w:t>e</w:t>
      </w:r>
      <w:r w:rsidR="00253342" w:rsidRPr="00F5160A">
        <w:rPr>
          <w:rFonts w:ascii="Cambria" w:hAnsi="Cambria" w:cs="Arial"/>
          <w:bCs/>
          <w:sz w:val="21"/>
          <w:szCs w:val="21"/>
        </w:rPr>
        <w:t xml:space="preserve"> this practice for this specific population </w:t>
      </w:r>
      <w:r>
        <w:rPr>
          <w:rFonts w:ascii="Cambria" w:hAnsi="Cambria" w:cs="Arial"/>
          <w:bCs/>
          <w:sz w:val="21"/>
          <w:szCs w:val="21"/>
        </w:rPr>
        <w:t>and include</w:t>
      </w:r>
      <w:r w:rsidR="00253342" w:rsidRPr="00F5160A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wrap around </w:t>
      </w:r>
      <w:r w:rsidR="00253342" w:rsidRPr="00F5160A">
        <w:rPr>
          <w:rFonts w:ascii="Cambria" w:hAnsi="Cambria" w:cs="Arial"/>
          <w:bCs/>
          <w:sz w:val="21"/>
          <w:szCs w:val="21"/>
        </w:rPr>
        <w:t xml:space="preserve">resources services adequate to meet the needs while placed in </w:t>
      </w:r>
      <w:r>
        <w:rPr>
          <w:rFonts w:ascii="Cambria" w:hAnsi="Cambria" w:cs="Arial"/>
          <w:bCs/>
          <w:sz w:val="21"/>
          <w:szCs w:val="21"/>
        </w:rPr>
        <w:t>hotels.</w:t>
      </w:r>
      <w:r w:rsidR="00253342" w:rsidRPr="00F5160A">
        <w:rPr>
          <w:rFonts w:ascii="Cambria" w:hAnsi="Cambria" w:cs="Arial"/>
          <w:bCs/>
          <w:sz w:val="21"/>
          <w:szCs w:val="21"/>
        </w:rPr>
        <w:t xml:space="preserve">  </w:t>
      </w:r>
      <w:r w:rsidR="00121F3E">
        <w:rPr>
          <w:rFonts w:ascii="Cambria" w:hAnsi="Cambria" w:cs="Arial"/>
          <w:bCs/>
          <w:sz w:val="21"/>
          <w:szCs w:val="21"/>
        </w:rPr>
        <w:t xml:space="preserve">Examine the needs of older and medically compromised individuals. </w:t>
      </w:r>
    </w:p>
    <w:p w14:paraId="6EE13A84" w14:textId="4B2A3E83" w:rsidR="0009796A" w:rsidRPr="00EB7BB8" w:rsidRDefault="0009796A" w:rsidP="00EB7BB8">
      <w:pPr>
        <w:tabs>
          <w:tab w:val="left" w:pos="1440"/>
        </w:tabs>
        <w:rPr>
          <w:rFonts w:ascii="Cambria" w:hAnsi="Cambria" w:cs="Arial"/>
          <w:bCs/>
          <w:sz w:val="21"/>
          <w:szCs w:val="21"/>
        </w:rPr>
      </w:pPr>
    </w:p>
    <w:p w14:paraId="48C4E2EA" w14:textId="34851797" w:rsidR="006C55AE" w:rsidRPr="00F5160A" w:rsidRDefault="00253342" w:rsidP="00F5160A">
      <w:pPr>
        <w:pStyle w:val="BodyText"/>
        <w:numPr>
          <w:ilvl w:val="0"/>
          <w:numId w:val="25"/>
        </w:numPr>
        <w:spacing w:before="0" w:beforeAutospacing="0" w:after="0" w:afterAutospacing="0"/>
        <w:ind w:left="360"/>
        <w:contextualSpacing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>Goal II Housing and Rental Subsidies:</w:t>
      </w:r>
    </w:p>
    <w:p w14:paraId="1909380B" w14:textId="2170446C" w:rsidR="00253342" w:rsidRPr="00F5160A" w:rsidRDefault="00253342" w:rsidP="00253342">
      <w:pPr>
        <w:pStyle w:val="ListParagraph"/>
        <w:numPr>
          <w:ilvl w:val="0"/>
          <w:numId w:val="20"/>
        </w:numPr>
        <w:ind w:left="72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Increase the supply of </w:t>
      </w:r>
      <w:r w:rsidR="00396C12">
        <w:rPr>
          <w:rFonts w:ascii="Cambria" w:hAnsi="Cambria" w:cs="Arial"/>
          <w:sz w:val="21"/>
          <w:szCs w:val="21"/>
        </w:rPr>
        <w:t>low-income</w:t>
      </w:r>
      <w:r w:rsidRPr="00F5160A">
        <w:rPr>
          <w:rFonts w:ascii="Cambria" w:hAnsi="Cambria" w:cs="Arial"/>
          <w:sz w:val="21"/>
          <w:szCs w:val="21"/>
        </w:rPr>
        <w:t xml:space="preserve"> and supportive housing. </w:t>
      </w:r>
    </w:p>
    <w:p w14:paraId="736DEC31" w14:textId="089C922B" w:rsidR="00253342" w:rsidRDefault="00253342" w:rsidP="00253342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Make sure we achieve the gains from LD 2003 which allows for the development of duplexes, accessory dwelling units, and in some cases, 3- or 4-unit buildings.</w:t>
      </w:r>
    </w:p>
    <w:p w14:paraId="79A03371" w14:textId="540B871F" w:rsidR="0096303F" w:rsidRPr="00F5160A" w:rsidRDefault="0096303F" w:rsidP="00253342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Support affordable housing bond.</w:t>
      </w:r>
    </w:p>
    <w:p w14:paraId="2179CE79" w14:textId="537FD446" w:rsidR="00253342" w:rsidRPr="00F5160A" w:rsidRDefault="00374604" w:rsidP="00253342">
      <w:pPr>
        <w:pStyle w:val="ListParagraph"/>
        <w:numPr>
          <w:ilvl w:val="0"/>
          <w:numId w:val="20"/>
        </w:numPr>
        <w:ind w:left="72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Ensure there is an adequate safety net. Examine barriers including restrictions that result in people being barred</w:t>
      </w:r>
      <w:r w:rsidR="00253342" w:rsidRPr="00F5160A">
        <w:rPr>
          <w:rFonts w:ascii="Cambria" w:hAnsi="Cambria" w:cs="Arial"/>
          <w:sz w:val="21"/>
          <w:szCs w:val="21"/>
        </w:rPr>
        <w:t xml:space="preserve"> from </w:t>
      </w:r>
      <w:r w:rsidR="004E466E">
        <w:rPr>
          <w:rFonts w:ascii="Cambria" w:hAnsi="Cambria" w:cs="Arial"/>
          <w:sz w:val="21"/>
          <w:szCs w:val="21"/>
        </w:rPr>
        <w:t xml:space="preserve">General Assistance (GA) as </w:t>
      </w:r>
      <w:r>
        <w:rPr>
          <w:rFonts w:ascii="Cambria" w:hAnsi="Cambria" w:cs="Arial"/>
          <w:sz w:val="21"/>
          <w:szCs w:val="21"/>
        </w:rPr>
        <w:t>a safety net</w:t>
      </w:r>
      <w:r w:rsidR="00253342" w:rsidRPr="00F5160A">
        <w:rPr>
          <w:rFonts w:ascii="Cambria" w:hAnsi="Cambria" w:cs="Arial"/>
          <w:sz w:val="21"/>
          <w:szCs w:val="21"/>
        </w:rPr>
        <w:t xml:space="preserve"> for 120 days.  </w:t>
      </w:r>
    </w:p>
    <w:p w14:paraId="166D6555" w14:textId="72992958" w:rsidR="0009796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Simplify the GA law so it is easy to read and interpret, and particularly – follow, with special emphasis with on emergency assistance portions of the law. </w:t>
      </w:r>
    </w:p>
    <w:p w14:paraId="6F279F98" w14:textId="5B530774" w:rsidR="002A62DB" w:rsidRPr="002A62DB" w:rsidRDefault="002A62DB" w:rsidP="002A62DB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Eliminate the dual penalty that can result in people losing GA and Food Stamps for a technicality.</w:t>
      </w:r>
    </w:p>
    <w:p w14:paraId="7DD52061" w14:textId="5B1E6270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Ensure state enforcement of GA policies.  </w:t>
      </w:r>
      <w:r w:rsidR="002A62DB">
        <w:rPr>
          <w:rFonts w:ascii="Cambria" w:hAnsi="Cambria" w:cs="Arial"/>
          <w:sz w:val="21"/>
          <w:szCs w:val="21"/>
        </w:rPr>
        <w:t>Ensure clear and supportive appeal process</w:t>
      </w:r>
      <w:r w:rsidR="00F63227">
        <w:rPr>
          <w:rFonts w:ascii="Cambria" w:hAnsi="Cambria" w:cs="Arial"/>
          <w:sz w:val="21"/>
          <w:szCs w:val="21"/>
        </w:rPr>
        <w:t xml:space="preserve">.  </w:t>
      </w:r>
    </w:p>
    <w:p w14:paraId="74481369" w14:textId="77777777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Look at a longer presumptive eligibility period – 60 or 90 days – particularly for housing assistance.</w:t>
      </w:r>
    </w:p>
    <w:p w14:paraId="12265150" w14:textId="2584CC2A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Ensure all people are served locally. </w:t>
      </w:r>
    </w:p>
    <w:p w14:paraId="6489C7AF" w14:textId="47BF54D5" w:rsidR="0009796A" w:rsidRPr="00F5160A" w:rsidRDefault="0009796A" w:rsidP="0009796A">
      <w:pPr>
        <w:pStyle w:val="ListParagraph"/>
        <w:numPr>
          <w:ilvl w:val="2"/>
          <w:numId w:val="20"/>
        </w:numPr>
        <w:tabs>
          <w:tab w:val="left" w:pos="1440"/>
        </w:tabs>
        <w:ind w:left="144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Ensure training can be provided so GA is widely understood and any of the support providers are able to intervene and help. </w:t>
      </w:r>
    </w:p>
    <w:p w14:paraId="3E047EA4" w14:textId="70FFD924" w:rsidR="00617749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lastRenderedPageBreak/>
        <w:t xml:space="preserve">Ensure emergency assistance can be used for eviction prevention to pay rent or arrears. </w:t>
      </w:r>
      <w:bookmarkEnd w:id="0"/>
    </w:p>
    <w:p w14:paraId="439FE6E6" w14:textId="59AE663B" w:rsidR="003353F9" w:rsidRDefault="003353F9" w:rsidP="003353F9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Examine the needs of people just over income qualifications (homeowners who can’t stay due to building shortcomings or substandard living situations, and older populations).</w:t>
      </w:r>
      <w:r>
        <w:rPr>
          <w:rFonts w:ascii="Cambria" w:hAnsi="Cambria" w:cs="Arial"/>
          <w:sz w:val="21"/>
          <w:szCs w:val="21"/>
        </w:rPr>
        <w:t xml:space="preserve">  Make sure people in challenging situation</w:t>
      </w:r>
      <w:r w:rsidR="00F05B7F">
        <w:rPr>
          <w:rFonts w:ascii="Cambria" w:hAnsi="Cambria" w:cs="Arial"/>
          <w:sz w:val="21"/>
          <w:szCs w:val="21"/>
        </w:rPr>
        <w:t>s</w:t>
      </w:r>
      <w:r>
        <w:rPr>
          <w:rFonts w:ascii="Cambria" w:hAnsi="Cambria" w:cs="Arial"/>
          <w:sz w:val="21"/>
          <w:szCs w:val="21"/>
        </w:rPr>
        <w:t xml:space="preserve"> have a “helper” </w:t>
      </w:r>
      <w:r w:rsidR="00F05B7F">
        <w:rPr>
          <w:rFonts w:ascii="Cambria" w:hAnsi="Cambria" w:cs="Arial"/>
          <w:sz w:val="21"/>
          <w:szCs w:val="21"/>
        </w:rPr>
        <w:t xml:space="preserve">(community resource navigator) </w:t>
      </w:r>
      <w:r>
        <w:rPr>
          <w:rFonts w:ascii="Cambria" w:hAnsi="Cambria" w:cs="Arial"/>
          <w:sz w:val="21"/>
          <w:szCs w:val="21"/>
        </w:rPr>
        <w:t xml:space="preserve">with navigating resources and meeting needs. </w:t>
      </w:r>
    </w:p>
    <w:p w14:paraId="58F44FA3" w14:textId="280A40FA" w:rsidR="0009796A" w:rsidRDefault="0009796A" w:rsidP="0009796A">
      <w:pPr>
        <w:pStyle w:val="ListParagraph"/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</w:p>
    <w:p w14:paraId="2C6B75E9" w14:textId="3197433D" w:rsidR="00374604" w:rsidRDefault="00374604" w:rsidP="0009796A">
      <w:pPr>
        <w:pStyle w:val="ListParagraph"/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</w:p>
    <w:p w14:paraId="66E2BB07" w14:textId="2A347E38" w:rsidR="00365F18" w:rsidRPr="00F5160A" w:rsidRDefault="0009796A" w:rsidP="00B524B5">
      <w:pPr>
        <w:pStyle w:val="BodyText"/>
        <w:numPr>
          <w:ilvl w:val="0"/>
          <w:numId w:val="25"/>
        </w:numPr>
        <w:spacing w:before="0" w:beforeAutospacing="0" w:after="0" w:afterAutospacing="0"/>
        <w:ind w:left="360"/>
        <w:contextualSpacing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>Goal III Support Services for SPMI, SUD, TBI:</w:t>
      </w:r>
    </w:p>
    <w:p w14:paraId="7E61DA92" w14:textId="5F678B54" w:rsidR="0009796A" w:rsidRPr="00F5160A" w:rsidRDefault="008B3193" w:rsidP="0009796A">
      <w:pPr>
        <w:pStyle w:val="ListParagraph"/>
        <w:numPr>
          <w:ilvl w:val="0"/>
          <w:numId w:val="20"/>
        </w:numPr>
        <w:ind w:left="72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Create</w:t>
      </w:r>
      <w:r w:rsidR="0009796A" w:rsidRPr="00F5160A">
        <w:rPr>
          <w:sz w:val="21"/>
          <w:szCs w:val="21"/>
        </w:rPr>
        <w:t xml:space="preserve"> Flexible Outreach Workers or Intensive Case Managers both for permanent supportive housing (to fill in gaps </w:t>
      </w:r>
      <w:r>
        <w:rPr>
          <w:sz w:val="21"/>
          <w:szCs w:val="21"/>
        </w:rPr>
        <w:t>in MaineCare funded services</w:t>
      </w:r>
      <w:r w:rsidR="0009796A" w:rsidRPr="00F5160A">
        <w:rPr>
          <w:sz w:val="21"/>
          <w:szCs w:val="21"/>
        </w:rPr>
        <w:t xml:space="preserve">) and to expand homeless youth and adult resources in Maine (to enhance HUD investments from the YHDP). </w:t>
      </w:r>
      <w:r>
        <w:rPr>
          <w:sz w:val="21"/>
          <w:szCs w:val="21"/>
        </w:rPr>
        <w:t>Have this be a g</w:t>
      </w:r>
      <w:r w:rsidR="0009796A" w:rsidRPr="00F5160A">
        <w:rPr>
          <w:sz w:val="21"/>
          <w:szCs w:val="21"/>
        </w:rPr>
        <w:t xml:space="preserve">eneral appropriations bill </w:t>
      </w:r>
      <w:r>
        <w:rPr>
          <w:sz w:val="21"/>
          <w:szCs w:val="21"/>
        </w:rPr>
        <w:t>covering</w:t>
      </w:r>
      <w:r w:rsidR="0009796A" w:rsidRPr="00F5160A">
        <w:rPr>
          <w:sz w:val="21"/>
          <w:szCs w:val="21"/>
        </w:rPr>
        <w:t xml:space="preserve"> all populations.  Look to other state models to replicate in Maine. </w:t>
      </w:r>
    </w:p>
    <w:p w14:paraId="0781E07E" w14:textId="69FF5379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i/>
          <w:iCs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Create positions similar to ICMs to fill gaps in the continuum.  Ensure they have flexibility for continuity of care.  </w:t>
      </w:r>
    </w:p>
    <w:p w14:paraId="1C8DFA7F" w14:textId="3A453C31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Ensure ICMs or Flexible Outreach Workers are community</w:t>
      </w:r>
      <w:r w:rsidR="008B3193">
        <w:rPr>
          <w:rFonts w:ascii="Cambria" w:hAnsi="Cambria" w:cs="Arial"/>
          <w:sz w:val="21"/>
          <w:szCs w:val="21"/>
        </w:rPr>
        <w:t>-</w:t>
      </w:r>
      <w:r w:rsidRPr="00F5160A">
        <w:rPr>
          <w:rFonts w:ascii="Cambria" w:hAnsi="Cambria" w:cs="Arial"/>
          <w:sz w:val="21"/>
          <w:szCs w:val="21"/>
        </w:rPr>
        <w:t xml:space="preserve">based.  </w:t>
      </w:r>
    </w:p>
    <w:p w14:paraId="0DCFA0DF" w14:textId="77777777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Ensure ICMs or Flexible Outreach Workers are collectively able to cover the state.</w:t>
      </w:r>
    </w:p>
    <w:p w14:paraId="3ADAFE7D" w14:textId="1294C831" w:rsidR="0009796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 xml:space="preserve">Ensure at least some ICMs or Flexible Outreach Workers are placed or </w:t>
      </w:r>
      <w:r w:rsidR="00396C12">
        <w:rPr>
          <w:rFonts w:ascii="Cambria" w:hAnsi="Cambria" w:cs="Arial"/>
          <w:sz w:val="21"/>
          <w:szCs w:val="21"/>
        </w:rPr>
        <w:t>fairly distributed</w:t>
      </w:r>
      <w:r w:rsidRPr="00F5160A">
        <w:rPr>
          <w:rFonts w:ascii="Cambria" w:hAnsi="Cambria" w:cs="Arial"/>
          <w:sz w:val="21"/>
          <w:szCs w:val="21"/>
        </w:rPr>
        <w:t xml:space="preserve"> to agencies to pay for flexible case management services.  This will provide homeless service agencies flexible funds to hire people who can meet client’s housing and stability needs. Make sure </w:t>
      </w:r>
      <w:r w:rsidR="0093033E">
        <w:rPr>
          <w:rFonts w:ascii="Cambria" w:hAnsi="Cambria" w:cs="Arial"/>
          <w:sz w:val="21"/>
          <w:szCs w:val="21"/>
        </w:rPr>
        <w:t>hiring protocols do</w:t>
      </w:r>
      <w:r w:rsidRPr="00F5160A">
        <w:rPr>
          <w:rFonts w:ascii="Cambria" w:hAnsi="Cambria" w:cs="Arial"/>
          <w:sz w:val="21"/>
          <w:szCs w:val="21"/>
        </w:rPr>
        <w:t xml:space="preserve"> not require a mental health license</w:t>
      </w:r>
      <w:r w:rsidR="0093033E">
        <w:rPr>
          <w:rFonts w:ascii="Cambria" w:hAnsi="Cambria" w:cs="Arial"/>
          <w:sz w:val="21"/>
          <w:szCs w:val="21"/>
        </w:rPr>
        <w:t xml:space="preserve"> – set this effort up to hire people who are good at going out and engaging the population and providing outreach support</w:t>
      </w:r>
      <w:r w:rsidRPr="00F5160A">
        <w:rPr>
          <w:rFonts w:ascii="Cambria" w:hAnsi="Cambria" w:cs="Arial"/>
          <w:sz w:val="21"/>
          <w:szCs w:val="21"/>
        </w:rPr>
        <w:t xml:space="preserve">. </w:t>
      </w:r>
    </w:p>
    <w:p w14:paraId="70D0C2B6" w14:textId="07F653F6" w:rsidR="00F05B7F" w:rsidRDefault="00F05B7F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Examine the needs of elderly and medically compromised individuals.</w:t>
      </w:r>
    </w:p>
    <w:p w14:paraId="44D23887" w14:textId="4F072648" w:rsidR="0096303F" w:rsidRPr="00F5160A" w:rsidRDefault="0096303F" w:rsidP="0096303F">
      <w:pPr>
        <w:pStyle w:val="ListParagraph"/>
        <w:numPr>
          <w:ilvl w:val="0"/>
          <w:numId w:val="20"/>
        </w:numPr>
        <w:ind w:left="72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Make providers whole for rate shortcomings for the MaineCare HOME program through a state appropriation.</w:t>
      </w:r>
    </w:p>
    <w:p w14:paraId="628D63EF" w14:textId="77777777" w:rsidR="0009796A" w:rsidRPr="00F5160A" w:rsidRDefault="0009796A" w:rsidP="0009796A">
      <w:pPr>
        <w:pStyle w:val="ListParagraph"/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</w:p>
    <w:p w14:paraId="63F8F84B" w14:textId="7838609E" w:rsidR="0009796A" w:rsidRPr="00F5160A" w:rsidRDefault="0009796A" w:rsidP="00B524B5">
      <w:pPr>
        <w:pStyle w:val="BodyText"/>
        <w:numPr>
          <w:ilvl w:val="0"/>
          <w:numId w:val="25"/>
        </w:numPr>
        <w:spacing w:before="0" w:beforeAutospacing="0" w:after="0" w:afterAutospacing="0"/>
        <w:ind w:left="360"/>
        <w:contextualSpacing/>
        <w:rPr>
          <w:rFonts w:ascii="Cambria" w:hAnsi="Cambria" w:cs="Arial"/>
          <w:b/>
          <w:sz w:val="21"/>
          <w:szCs w:val="21"/>
        </w:rPr>
      </w:pPr>
      <w:r w:rsidRPr="00F5160A">
        <w:rPr>
          <w:rFonts w:ascii="Cambria" w:hAnsi="Cambria" w:cs="Arial"/>
          <w:b/>
          <w:sz w:val="21"/>
          <w:szCs w:val="21"/>
        </w:rPr>
        <w:t>Goal IV Addressing underlying issues of homelessness:</w:t>
      </w:r>
    </w:p>
    <w:p w14:paraId="25DF734E" w14:textId="0262F8A4" w:rsidR="0009796A" w:rsidRPr="00F5160A" w:rsidRDefault="008B3193" w:rsidP="0009796A">
      <w:pPr>
        <w:pStyle w:val="ListParagraph"/>
        <w:numPr>
          <w:ilvl w:val="0"/>
          <w:numId w:val="20"/>
        </w:numPr>
        <w:ind w:left="720"/>
        <w:rPr>
          <w:rFonts w:ascii="Cambria" w:hAnsi="Cambria" w:cs="Arial"/>
          <w:i/>
          <w:i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Decriminalize homelessness.  </w:t>
      </w:r>
      <w:r w:rsidRPr="00F5160A">
        <w:rPr>
          <w:rFonts w:ascii="Cambria" w:hAnsi="Cambria" w:cs="Arial"/>
          <w:sz w:val="21"/>
          <w:szCs w:val="21"/>
        </w:rPr>
        <w:t>Focus specifically on the decriminalization aspects which may be more feasible and may save money.</w:t>
      </w:r>
      <w:r>
        <w:rPr>
          <w:rFonts w:ascii="Cambria" w:hAnsi="Cambria" w:cs="Arial"/>
          <w:sz w:val="21"/>
          <w:szCs w:val="21"/>
        </w:rPr>
        <w:t xml:space="preserve"> Consider aspects of</w:t>
      </w:r>
      <w:r w:rsidR="0009796A" w:rsidRPr="00F5160A">
        <w:rPr>
          <w:rFonts w:ascii="Cambria" w:hAnsi="Cambria" w:cs="Arial"/>
          <w:sz w:val="21"/>
          <w:szCs w:val="21"/>
        </w:rPr>
        <w:t xml:space="preserve"> Cor</w:t>
      </w:r>
      <w:r w:rsidR="00926F67">
        <w:rPr>
          <w:rFonts w:ascii="Cambria" w:hAnsi="Cambria" w:cs="Arial"/>
          <w:sz w:val="21"/>
          <w:szCs w:val="21"/>
        </w:rPr>
        <w:t>i</w:t>
      </w:r>
      <w:r w:rsidR="0009796A" w:rsidRPr="00F5160A">
        <w:rPr>
          <w:rFonts w:ascii="Cambria" w:hAnsi="Cambria" w:cs="Arial"/>
          <w:sz w:val="21"/>
          <w:szCs w:val="21"/>
        </w:rPr>
        <w:t xml:space="preserve"> B</w:t>
      </w:r>
      <w:r w:rsidR="00926F67">
        <w:rPr>
          <w:rFonts w:ascii="Cambria" w:hAnsi="Cambria" w:cs="Arial"/>
          <w:sz w:val="21"/>
          <w:szCs w:val="21"/>
        </w:rPr>
        <w:t>ush</w:t>
      </w:r>
      <w:r w:rsidR="0009796A" w:rsidRPr="00F5160A">
        <w:rPr>
          <w:rFonts w:ascii="Cambria" w:hAnsi="Cambria" w:cs="Arial"/>
          <w:sz w:val="21"/>
          <w:szCs w:val="21"/>
        </w:rPr>
        <w:t xml:space="preserve">’s Federal Homeless Bill of Rights. </w:t>
      </w:r>
      <w:r w:rsidR="00267044">
        <w:rPr>
          <w:rFonts w:ascii="Cambria" w:hAnsi="Cambria" w:cs="Arial"/>
          <w:sz w:val="21"/>
          <w:szCs w:val="21"/>
        </w:rPr>
        <w:t xml:space="preserve"> </w:t>
      </w:r>
      <w:r w:rsidR="0009796A" w:rsidRPr="00F5160A">
        <w:rPr>
          <w:rFonts w:ascii="Cambria" w:hAnsi="Cambria" w:cs="Arial"/>
          <w:sz w:val="21"/>
          <w:szCs w:val="21"/>
        </w:rPr>
        <w:t xml:space="preserve">Align with </w:t>
      </w:r>
      <w:r>
        <w:rPr>
          <w:rFonts w:ascii="Cambria" w:hAnsi="Cambria" w:cs="Arial"/>
          <w:sz w:val="21"/>
          <w:szCs w:val="21"/>
        </w:rPr>
        <w:t xml:space="preserve">Rep. </w:t>
      </w:r>
      <w:r w:rsidR="0009796A" w:rsidRPr="00F5160A">
        <w:rPr>
          <w:rFonts w:ascii="Cambria" w:hAnsi="Cambria" w:cs="Arial"/>
          <w:sz w:val="21"/>
          <w:szCs w:val="21"/>
        </w:rPr>
        <w:t>Victoria Morales’ previous legislation</w:t>
      </w:r>
      <w:r w:rsidR="0009796A" w:rsidRPr="00F5160A">
        <w:rPr>
          <w:rFonts w:ascii="Cambria" w:hAnsi="Cambria" w:cs="Arial"/>
          <w:i/>
          <w:iCs/>
          <w:sz w:val="21"/>
          <w:szCs w:val="21"/>
        </w:rPr>
        <w:t>.</w:t>
      </w:r>
      <w:r w:rsidR="0093033E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93033E">
        <w:rPr>
          <w:rFonts w:ascii="Cambria" w:hAnsi="Cambria" w:cs="Arial"/>
          <w:sz w:val="21"/>
          <w:szCs w:val="21"/>
        </w:rPr>
        <w:t>[17A in the Maine Criminal Courts – reference AG template for municipalities].</w:t>
      </w:r>
    </w:p>
    <w:p w14:paraId="037584FC" w14:textId="5D8FAAEA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Look at this as an umbrella approach – an overarching principle of the other legislation</w:t>
      </w:r>
      <w:r w:rsidR="00926F67">
        <w:rPr>
          <w:rFonts w:ascii="Cambria" w:hAnsi="Cambria" w:cs="Arial"/>
          <w:sz w:val="21"/>
          <w:szCs w:val="21"/>
        </w:rPr>
        <w:t>.</w:t>
      </w:r>
    </w:p>
    <w:p w14:paraId="4E7B6D92" w14:textId="77777777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It may be possible to include the right to counsel here (this is to slowly build understanding and buy in for future legislation).</w:t>
      </w:r>
    </w:p>
    <w:p w14:paraId="70276972" w14:textId="77777777" w:rsidR="0009796A" w:rsidRPr="00F5160A" w:rsidRDefault="0009796A" w:rsidP="0009796A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 w:rsidRPr="00F5160A">
        <w:rPr>
          <w:rFonts w:ascii="Cambria" w:hAnsi="Cambria" w:cs="Arial"/>
          <w:sz w:val="21"/>
          <w:szCs w:val="21"/>
        </w:rPr>
        <w:t>Consider the right to shelter or housing.</w:t>
      </w:r>
    </w:p>
    <w:p w14:paraId="762673AD" w14:textId="4A28E655" w:rsidR="00680C83" w:rsidRDefault="00926F67" w:rsidP="00FA3591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Be proactive with resolving evictions.</w:t>
      </w:r>
      <w:r w:rsidR="0093033E">
        <w:rPr>
          <w:rFonts w:ascii="Cambria" w:hAnsi="Cambria" w:cs="Arial"/>
          <w:sz w:val="21"/>
          <w:szCs w:val="21"/>
        </w:rPr>
        <w:t xml:space="preserve"> </w:t>
      </w:r>
      <w:r w:rsidR="00680C83">
        <w:rPr>
          <w:rFonts w:ascii="Cambria" w:hAnsi="Cambria" w:cs="Arial"/>
          <w:sz w:val="21"/>
          <w:szCs w:val="21"/>
        </w:rPr>
        <w:t xml:space="preserve">  </w:t>
      </w:r>
    </w:p>
    <w:p w14:paraId="7D5AA915" w14:textId="77777777" w:rsidR="0096303F" w:rsidRDefault="0093033E" w:rsidP="00FA3591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Fund public defender office in the state.  </w:t>
      </w:r>
    </w:p>
    <w:p w14:paraId="74215831" w14:textId="6A8CD941" w:rsidR="00926F67" w:rsidRDefault="0096303F" w:rsidP="00FA3591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Increase funding for civil legal services.</w:t>
      </w:r>
    </w:p>
    <w:p w14:paraId="2F177E4A" w14:textId="77777777" w:rsidR="00680C83" w:rsidRDefault="00955E33" w:rsidP="00680C83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Ensure this is examined through a racial equity lens.  </w:t>
      </w:r>
    </w:p>
    <w:p w14:paraId="066FBA53" w14:textId="38779510" w:rsidR="00680C83" w:rsidRDefault="00680C83" w:rsidP="0096303F">
      <w:pPr>
        <w:pStyle w:val="ListParagraph"/>
        <w:numPr>
          <w:ilvl w:val="0"/>
          <w:numId w:val="20"/>
        </w:numPr>
        <w:ind w:left="720"/>
        <w:rPr>
          <w:rFonts w:ascii="Cambria" w:hAnsi="Cambria" w:cs="Arial"/>
          <w:sz w:val="21"/>
          <w:szCs w:val="21"/>
        </w:rPr>
      </w:pPr>
      <w:r w:rsidRPr="00680C83">
        <w:rPr>
          <w:rFonts w:ascii="Cambria" w:hAnsi="Cambria" w:cs="Arial"/>
          <w:sz w:val="21"/>
          <w:szCs w:val="21"/>
        </w:rPr>
        <w:t xml:space="preserve">Find pathways to strict data requirement such that there is real time data about evictions for landlords, but longer-term issues can be expunged.   </w:t>
      </w:r>
    </w:p>
    <w:p w14:paraId="5E9E69B7" w14:textId="485B0FF4" w:rsidR="0096303F" w:rsidRDefault="0096303F" w:rsidP="0096303F">
      <w:pPr>
        <w:pStyle w:val="ListParagraph"/>
        <w:numPr>
          <w:ilvl w:val="1"/>
          <w:numId w:val="20"/>
        </w:numPr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Create data protection for tenants similar to data protections for borrowers.</w:t>
      </w:r>
    </w:p>
    <w:p w14:paraId="687FD682" w14:textId="77777777" w:rsidR="0012786C" w:rsidRPr="00680C83" w:rsidRDefault="0012786C" w:rsidP="003353F9">
      <w:pPr>
        <w:pStyle w:val="ListParagraph"/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</w:p>
    <w:p w14:paraId="47CCFEAE" w14:textId="074BBA6D" w:rsidR="00955E33" w:rsidRPr="00F5160A" w:rsidRDefault="00955E33" w:rsidP="00680C83">
      <w:pPr>
        <w:pStyle w:val="ListParagraph"/>
        <w:tabs>
          <w:tab w:val="left" w:pos="1440"/>
        </w:tabs>
        <w:ind w:left="1080"/>
        <w:rPr>
          <w:rFonts w:ascii="Cambria" w:hAnsi="Cambria" w:cs="Arial"/>
          <w:sz w:val="21"/>
          <w:szCs w:val="21"/>
        </w:rPr>
      </w:pPr>
    </w:p>
    <w:sectPr w:rsidR="00955E33" w:rsidRPr="00F5160A" w:rsidSect="00097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A1D"/>
    <w:multiLevelType w:val="hybridMultilevel"/>
    <w:tmpl w:val="608C33B8"/>
    <w:lvl w:ilvl="0" w:tplc="88B4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19F"/>
    <w:multiLevelType w:val="hybridMultilevel"/>
    <w:tmpl w:val="4A54DFDE"/>
    <w:lvl w:ilvl="0" w:tplc="C85292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AB0EC">
      <w:start w:val="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4D2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1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813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5B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0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0AE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CE5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59F"/>
    <w:multiLevelType w:val="hybridMultilevel"/>
    <w:tmpl w:val="8C144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79C"/>
    <w:multiLevelType w:val="hybridMultilevel"/>
    <w:tmpl w:val="5A22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A7D48"/>
    <w:multiLevelType w:val="hybridMultilevel"/>
    <w:tmpl w:val="9D64A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138"/>
    <w:multiLevelType w:val="hybridMultilevel"/>
    <w:tmpl w:val="25F6B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EDE"/>
    <w:multiLevelType w:val="hybridMultilevel"/>
    <w:tmpl w:val="350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C1763"/>
    <w:multiLevelType w:val="hybridMultilevel"/>
    <w:tmpl w:val="F0E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77"/>
    <w:multiLevelType w:val="hybridMultilevel"/>
    <w:tmpl w:val="10F4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A7A"/>
    <w:multiLevelType w:val="hybridMultilevel"/>
    <w:tmpl w:val="C3F2D3D0"/>
    <w:lvl w:ilvl="0" w:tplc="85C8B4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D2041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77029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06226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0C614B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5E8AD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ADAD7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CCC0C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08E18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2B0D5D0B"/>
    <w:multiLevelType w:val="hybridMultilevel"/>
    <w:tmpl w:val="57549F54"/>
    <w:lvl w:ilvl="0" w:tplc="CE6E04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147914">
      <w:start w:val="2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F400F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3A2BD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058EC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A70B4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AD250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D657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CF2DF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38763F8E"/>
    <w:multiLevelType w:val="hybridMultilevel"/>
    <w:tmpl w:val="B9AED032"/>
    <w:lvl w:ilvl="0" w:tplc="99500E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886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4AD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38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2B0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2E4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86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2C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E33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4A1B"/>
    <w:multiLevelType w:val="hybridMultilevel"/>
    <w:tmpl w:val="25F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97"/>
    <w:multiLevelType w:val="hybridMultilevel"/>
    <w:tmpl w:val="F27C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C41"/>
    <w:multiLevelType w:val="hybridMultilevel"/>
    <w:tmpl w:val="5E72B430"/>
    <w:lvl w:ilvl="0" w:tplc="92CAF4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50DA8"/>
    <w:multiLevelType w:val="hybridMultilevel"/>
    <w:tmpl w:val="55AC3F26"/>
    <w:lvl w:ilvl="0" w:tplc="E7FE7C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4DA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8D7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CC0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AA6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CC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35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E9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27B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9F6"/>
    <w:multiLevelType w:val="hybridMultilevel"/>
    <w:tmpl w:val="3C585B32"/>
    <w:lvl w:ilvl="0" w:tplc="88B4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540D0"/>
    <w:multiLevelType w:val="hybridMultilevel"/>
    <w:tmpl w:val="5E0A3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9018AA"/>
    <w:multiLevelType w:val="hybridMultilevel"/>
    <w:tmpl w:val="B7EED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972BC"/>
    <w:multiLevelType w:val="hybridMultilevel"/>
    <w:tmpl w:val="E9E82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6631C2"/>
    <w:multiLevelType w:val="hybridMultilevel"/>
    <w:tmpl w:val="473ADC9C"/>
    <w:lvl w:ilvl="0" w:tplc="88B4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45C5"/>
    <w:multiLevelType w:val="hybridMultilevel"/>
    <w:tmpl w:val="A1F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5E51"/>
    <w:multiLevelType w:val="hybridMultilevel"/>
    <w:tmpl w:val="304070EC"/>
    <w:lvl w:ilvl="0" w:tplc="88B4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22"/>
  </w:num>
  <w:num w:numId="11">
    <w:abstractNumId w:val="16"/>
  </w:num>
  <w:num w:numId="12">
    <w:abstractNumId w:val="1"/>
  </w:num>
  <w:num w:numId="13">
    <w:abstractNumId w:val="20"/>
  </w:num>
  <w:num w:numId="14">
    <w:abstractNumId w:val="12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B"/>
    <w:rsid w:val="00022035"/>
    <w:rsid w:val="000518FE"/>
    <w:rsid w:val="0005275A"/>
    <w:rsid w:val="0006092A"/>
    <w:rsid w:val="00066D48"/>
    <w:rsid w:val="00066FD7"/>
    <w:rsid w:val="00097603"/>
    <w:rsid w:val="0009796A"/>
    <w:rsid w:val="000C6E34"/>
    <w:rsid w:val="000F3200"/>
    <w:rsid w:val="000F64E4"/>
    <w:rsid w:val="00107288"/>
    <w:rsid w:val="00121F3E"/>
    <w:rsid w:val="0012786C"/>
    <w:rsid w:val="00136FF3"/>
    <w:rsid w:val="00172F59"/>
    <w:rsid w:val="001C14F4"/>
    <w:rsid w:val="001E37A8"/>
    <w:rsid w:val="001F46DE"/>
    <w:rsid w:val="00225F3C"/>
    <w:rsid w:val="00235D2A"/>
    <w:rsid w:val="00253342"/>
    <w:rsid w:val="00267044"/>
    <w:rsid w:val="00282AB9"/>
    <w:rsid w:val="002835A8"/>
    <w:rsid w:val="002A62DB"/>
    <w:rsid w:val="002F41CB"/>
    <w:rsid w:val="00322B5B"/>
    <w:rsid w:val="003353F9"/>
    <w:rsid w:val="0033680C"/>
    <w:rsid w:val="00362FF3"/>
    <w:rsid w:val="00365F18"/>
    <w:rsid w:val="00374604"/>
    <w:rsid w:val="00387296"/>
    <w:rsid w:val="00396C12"/>
    <w:rsid w:val="003D5A03"/>
    <w:rsid w:val="003E100F"/>
    <w:rsid w:val="00416803"/>
    <w:rsid w:val="00453E75"/>
    <w:rsid w:val="00474552"/>
    <w:rsid w:val="00494FB9"/>
    <w:rsid w:val="004B70DE"/>
    <w:rsid w:val="004E466E"/>
    <w:rsid w:val="004F4A77"/>
    <w:rsid w:val="00516CAC"/>
    <w:rsid w:val="00553D95"/>
    <w:rsid w:val="00557987"/>
    <w:rsid w:val="00560AC8"/>
    <w:rsid w:val="005A3F87"/>
    <w:rsid w:val="005A4D13"/>
    <w:rsid w:val="005A4D46"/>
    <w:rsid w:val="005B33F9"/>
    <w:rsid w:val="005B63D4"/>
    <w:rsid w:val="005F09C4"/>
    <w:rsid w:val="00617749"/>
    <w:rsid w:val="006531FC"/>
    <w:rsid w:val="006543EE"/>
    <w:rsid w:val="006651B9"/>
    <w:rsid w:val="00680C83"/>
    <w:rsid w:val="006C4265"/>
    <w:rsid w:val="006C4FC3"/>
    <w:rsid w:val="006C55AE"/>
    <w:rsid w:val="006E282F"/>
    <w:rsid w:val="006F338D"/>
    <w:rsid w:val="007131E4"/>
    <w:rsid w:val="00744BE9"/>
    <w:rsid w:val="00764E2D"/>
    <w:rsid w:val="00781C79"/>
    <w:rsid w:val="007847C2"/>
    <w:rsid w:val="00786D30"/>
    <w:rsid w:val="007A4C6D"/>
    <w:rsid w:val="007A63AD"/>
    <w:rsid w:val="007A7F4B"/>
    <w:rsid w:val="007B0F58"/>
    <w:rsid w:val="007C481C"/>
    <w:rsid w:val="007E3632"/>
    <w:rsid w:val="00801CD5"/>
    <w:rsid w:val="00804FB0"/>
    <w:rsid w:val="008123E5"/>
    <w:rsid w:val="00842C75"/>
    <w:rsid w:val="00851F7E"/>
    <w:rsid w:val="008567C3"/>
    <w:rsid w:val="00872575"/>
    <w:rsid w:val="008730CE"/>
    <w:rsid w:val="008A5EF0"/>
    <w:rsid w:val="008B3193"/>
    <w:rsid w:val="008B68DC"/>
    <w:rsid w:val="008C1413"/>
    <w:rsid w:val="008C50BF"/>
    <w:rsid w:val="00914FF4"/>
    <w:rsid w:val="00917D39"/>
    <w:rsid w:val="00926F67"/>
    <w:rsid w:val="0093033E"/>
    <w:rsid w:val="00930ACC"/>
    <w:rsid w:val="00955E33"/>
    <w:rsid w:val="00960128"/>
    <w:rsid w:val="0096303F"/>
    <w:rsid w:val="009C4143"/>
    <w:rsid w:val="009E61F8"/>
    <w:rsid w:val="009F6B12"/>
    <w:rsid w:val="00A246C2"/>
    <w:rsid w:val="00A668F9"/>
    <w:rsid w:val="00AA0215"/>
    <w:rsid w:val="00AB7821"/>
    <w:rsid w:val="00B41053"/>
    <w:rsid w:val="00B524B5"/>
    <w:rsid w:val="00B668A0"/>
    <w:rsid w:val="00B66E39"/>
    <w:rsid w:val="00B708D1"/>
    <w:rsid w:val="00B84F91"/>
    <w:rsid w:val="00B913F7"/>
    <w:rsid w:val="00B964DC"/>
    <w:rsid w:val="00BF0A88"/>
    <w:rsid w:val="00BF64A8"/>
    <w:rsid w:val="00C0101E"/>
    <w:rsid w:val="00C109A6"/>
    <w:rsid w:val="00C14030"/>
    <w:rsid w:val="00C426B3"/>
    <w:rsid w:val="00C5094B"/>
    <w:rsid w:val="00C7298A"/>
    <w:rsid w:val="00D20D9C"/>
    <w:rsid w:val="00D37F45"/>
    <w:rsid w:val="00D64A30"/>
    <w:rsid w:val="00DA08A7"/>
    <w:rsid w:val="00DD1C55"/>
    <w:rsid w:val="00E12B40"/>
    <w:rsid w:val="00E14C47"/>
    <w:rsid w:val="00EB7BB8"/>
    <w:rsid w:val="00EC57AF"/>
    <w:rsid w:val="00ED6818"/>
    <w:rsid w:val="00EE74FF"/>
    <w:rsid w:val="00EF136B"/>
    <w:rsid w:val="00EF37C3"/>
    <w:rsid w:val="00F0432A"/>
    <w:rsid w:val="00F05B7F"/>
    <w:rsid w:val="00F1044F"/>
    <w:rsid w:val="00F379EA"/>
    <w:rsid w:val="00F5160A"/>
    <w:rsid w:val="00F63227"/>
    <w:rsid w:val="00F6695D"/>
    <w:rsid w:val="00F769A9"/>
    <w:rsid w:val="00FA17A0"/>
    <w:rsid w:val="00FA3591"/>
    <w:rsid w:val="00FB0677"/>
    <w:rsid w:val="00FD3834"/>
    <w:rsid w:val="00FE564D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3A08"/>
  <w15:docId w15:val="{A7911B97-CE4B-4138-BFCF-E504D927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94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09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094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094B"/>
  </w:style>
  <w:style w:type="table" w:styleId="TableGrid">
    <w:name w:val="Table Grid"/>
    <w:basedOn w:val="TableNormal"/>
    <w:uiPriority w:val="39"/>
    <w:rsid w:val="00C0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53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FF3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9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3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8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69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D876F-CCCD-49BF-BCDE-E30AB270E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BC058-7D9C-4FE3-B399-2140A78E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245D7-5DA1-4EDE-B6C8-C93DCC06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Rand</dc:creator>
  <cp:keywords/>
  <dc:description/>
  <cp:lastModifiedBy>Cullen Ryan</cp:lastModifiedBy>
  <cp:revision>20</cp:revision>
  <dcterms:created xsi:type="dcterms:W3CDTF">2022-09-09T16:28:00Z</dcterms:created>
  <dcterms:modified xsi:type="dcterms:W3CDTF">2022-10-14T14:52:00Z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