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5D331" w14:textId="2FCEBBE3" w:rsidR="00D859B0" w:rsidRPr="00382CE6" w:rsidRDefault="00205091">
      <w:pPr>
        <w:rPr>
          <w:b/>
          <w:bCs/>
        </w:rPr>
      </w:pPr>
      <w:bookmarkStart w:id="0" w:name="_GoBack"/>
      <w:bookmarkEnd w:id="0"/>
      <w:r w:rsidRPr="00382CE6">
        <w:rPr>
          <w:b/>
          <w:bCs/>
        </w:rPr>
        <w:t>Special CoC NOFO</w:t>
      </w:r>
      <w:r w:rsidR="00397678" w:rsidRPr="00382CE6">
        <w:rPr>
          <w:b/>
          <w:bCs/>
        </w:rPr>
        <w:t xml:space="preserve"> Notes:</w:t>
      </w:r>
    </w:p>
    <w:p w14:paraId="0F283098" w14:textId="50FD64CE" w:rsidR="00205091" w:rsidRDefault="00205091" w:rsidP="00205091">
      <w:pPr>
        <w:pStyle w:val="ListParagraph"/>
        <w:numPr>
          <w:ilvl w:val="0"/>
          <w:numId w:val="1"/>
        </w:numPr>
      </w:pPr>
      <w:r>
        <w:t>Due 10/20/22 but local project application deadlines will be sooner</w:t>
      </w:r>
    </w:p>
    <w:p w14:paraId="2411052F" w14:textId="5D276C83" w:rsidR="00205091" w:rsidRDefault="00205091" w:rsidP="00205091">
      <w:pPr>
        <w:pStyle w:val="ListParagraph"/>
        <w:numPr>
          <w:ilvl w:val="0"/>
          <w:numId w:val="1"/>
        </w:numPr>
      </w:pPr>
      <w:r>
        <w:t>Rural set-aside is scored on an 89-point scale</w:t>
      </w:r>
    </w:p>
    <w:p w14:paraId="4C7AC24B" w14:textId="3C5B0FA8" w:rsidR="00205091" w:rsidRDefault="00205091" w:rsidP="00205091">
      <w:pPr>
        <w:pStyle w:val="ListParagraph"/>
        <w:numPr>
          <w:ilvl w:val="0"/>
          <w:numId w:val="1"/>
        </w:numPr>
      </w:pPr>
      <w:r>
        <w:t xml:space="preserve">Unsheltered set-aside is scored on a 100-point scale (before </w:t>
      </w:r>
      <w:r w:rsidR="00382CE6">
        <w:t xml:space="preserve">any </w:t>
      </w:r>
      <w:r>
        <w:t>bonus points, Maine will receive 0 out of a maximum of 30 bonus points).</w:t>
      </w:r>
    </w:p>
    <w:p w14:paraId="643EEA72" w14:textId="7B590257" w:rsidR="00205091" w:rsidRDefault="00205091" w:rsidP="00205091">
      <w:pPr>
        <w:pStyle w:val="ListParagraph"/>
        <w:numPr>
          <w:ilvl w:val="0"/>
          <w:numId w:val="1"/>
        </w:numPr>
      </w:pPr>
      <w:r>
        <w:t xml:space="preserve">Maine is eligible to apply for up to $3,917,136 under the </w:t>
      </w:r>
      <w:proofErr w:type="gramStart"/>
      <w:r>
        <w:t>Rural</w:t>
      </w:r>
      <w:proofErr w:type="gramEnd"/>
      <w:r>
        <w:t xml:space="preserve"> set-side and $7,272,024 under the Unsheltered set-aside.</w:t>
      </w:r>
    </w:p>
    <w:p w14:paraId="20BBC5FC" w14:textId="34F7D277" w:rsidR="00205091" w:rsidRDefault="00205091" w:rsidP="00205091">
      <w:pPr>
        <w:pStyle w:val="ListParagraph"/>
        <w:numPr>
          <w:ilvl w:val="0"/>
          <w:numId w:val="1"/>
        </w:numPr>
      </w:pPr>
      <w:r>
        <w:t xml:space="preserve">Rural set-aside must serve areas defined as “rural” by HUD – in Maine that is:  </w:t>
      </w:r>
      <w:r w:rsidRPr="00205091">
        <w:t>Aroostook, Franklin, Hancock, Kennebec, Knox, Lincoln, Oxford, Piscataquis, Somerset, Waldo, &amp; Washington Counties</w:t>
      </w:r>
      <w:r>
        <w:t>.</w:t>
      </w:r>
    </w:p>
    <w:p w14:paraId="61F8F349" w14:textId="77777777" w:rsidR="00C53B5F" w:rsidRDefault="00C53B5F" w:rsidP="00C53B5F">
      <w:pPr>
        <w:pStyle w:val="ListParagraph"/>
        <w:numPr>
          <w:ilvl w:val="0"/>
          <w:numId w:val="1"/>
        </w:numPr>
      </w:pPr>
      <w:r>
        <w:t xml:space="preserve">Policy Priorities:  </w:t>
      </w:r>
    </w:p>
    <w:p w14:paraId="269A2478" w14:textId="77777777" w:rsidR="00C53B5F" w:rsidRDefault="00C53B5F" w:rsidP="00C53B5F">
      <w:pPr>
        <w:pStyle w:val="ListParagraph"/>
        <w:numPr>
          <w:ilvl w:val="1"/>
          <w:numId w:val="1"/>
        </w:numPr>
      </w:pPr>
      <w:r>
        <w:t>In rural areas – reduce homelessness amongst individuals and families experiencing unsheltered homelessness and those with severe service needs.</w:t>
      </w:r>
    </w:p>
    <w:p w14:paraId="0275C71F" w14:textId="77777777" w:rsidR="00C53B5F" w:rsidRDefault="00C53B5F" w:rsidP="00C53B5F">
      <w:pPr>
        <w:pStyle w:val="ListParagraph"/>
        <w:numPr>
          <w:ilvl w:val="1"/>
          <w:numId w:val="1"/>
        </w:numPr>
      </w:pPr>
      <w:r>
        <w:t>Provide Assistance on tribal lands</w:t>
      </w:r>
    </w:p>
    <w:p w14:paraId="7B649439" w14:textId="77777777" w:rsidR="00C53B5F" w:rsidRDefault="00C53B5F" w:rsidP="00C53B5F">
      <w:pPr>
        <w:pStyle w:val="ListParagraph"/>
        <w:numPr>
          <w:ilvl w:val="1"/>
          <w:numId w:val="1"/>
        </w:numPr>
      </w:pPr>
      <w:r>
        <w:t>Involve a broad array of stakeholders (including emphasis on people with lived experience in decision-making).</w:t>
      </w:r>
    </w:p>
    <w:p w14:paraId="5C97561A" w14:textId="77777777" w:rsidR="00C53B5F" w:rsidRDefault="00C53B5F" w:rsidP="00C53B5F">
      <w:pPr>
        <w:pStyle w:val="ListParagraph"/>
        <w:numPr>
          <w:ilvl w:val="1"/>
          <w:numId w:val="1"/>
        </w:numPr>
      </w:pPr>
      <w:r>
        <w:t>Advance equity</w:t>
      </w:r>
    </w:p>
    <w:p w14:paraId="34CF1CE8" w14:textId="77777777" w:rsidR="00C53B5F" w:rsidRDefault="00C53B5F" w:rsidP="00C53B5F">
      <w:pPr>
        <w:pStyle w:val="ListParagraph"/>
        <w:numPr>
          <w:ilvl w:val="1"/>
          <w:numId w:val="1"/>
        </w:numPr>
      </w:pPr>
      <w:r>
        <w:t>Use a housing first approach.</w:t>
      </w:r>
    </w:p>
    <w:p w14:paraId="2251E836" w14:textId="15AF1C88" w:rsidR="00205091" w:rsidRDefault="00205091" w:rsidP="00205091">
      <w:pPr>
        <w:pStyle w:val="ListParagraph"/>
        <w:numPr>
          <w:ilvl w:val="0"/>
          <w:numId w:val="1"/>
        </w:numPr>
      </w:pPr>
      <w:r>
        <w:t xml:space="preserve">The biggest part of the application is the </w:t>
      </w:r>
      <w:r w:rsidRPr="00382CE6">
        <w:rPr>
          <w:b/>
          <w:bCs/>
        </w:rPr>
        <w:t>“CoC’s Plan for Serving Individuals and Families Experiencing Homelessness with Severe Service Needs.”</w:t>
      </w:r>
      <w:r>
        <w:t xml:space="preserve"> Maximum 15-page narrative, an attachment in e-Snaps.</w:t>
      </w:r>
    </w:p>
    <w:p w14:paraId="58573A74" w14:textId="6B8850C7" w:rsidR="006C30DC" w:rsidRPr="006C30DC" w:rsidRDefault="006C30DC" w:rsidP="006C30DC">
      <w:pPr>
        <w:pStyle w:val="ListParagraph"/>
        <w:numPr>
          <w:ilvl w:val="1"/>
          <w:numId w:val="1"/>
        </w:numPr>
      </w:pPr>
      <w:r w:rsidRPr="00382CE6">
        <w:rPr>
          <w:b/>
          <w:bCs/>
        </w:rPr>
        <w:t>Leveraging Housing Resources</w:t>
      </w:r>
      <w:r w:rsidR="00382CE6" w:rsidRPr="00382CE6">
        <w:rPr>
          <w:b/>
          <w:bCs/>
        </w:rPr>
        <w:t>:</w:t>
      </w:r>
      <w:r w:rsidRPr="006C30DC">
        <w:t xml:space="preserve"> Up to 18 points to CoCs that demonstrate efforts to increase the number of permanent housing units available to individuals and families experiencing </w:t>
      </w:r>
      <w:proofErr w:type="gramStart"/>
      <w:r w:rsidRPr="006C30DC">
        <w:t>homelessness, …</w:t>
      </w:r>
      <w:proofErr w:type="gramEnd"/>
      <w:r w:rsidRPr="006C30DC">
        <w:t xml:space="preserve"> [HCV vouchers count!]</w:t>
      </w:r>
      <w:r>
        <w:t xml:space="preserve"> </w:t>
      </w:r>
      <w:proofErr w:type="gramStart"/>
      <w:r w:rsidRPr="006C30DC">
        <w:t>letter</w:t>
      </w:r>
      <w:proofErr w:type="gramEnd"/>
      <w:r w:rsidRPr="006C30DC">
        <w:t xml:space="preserve"> of commitment from a PHA = 4points (additional attachments).</w:t>
      </w:r>
    </w:p>
    <w:p w14:paraId="2F2CA363" w14:textId="77777777" w:rsidR="006C30DC" w:rsidRDefault="006C30DC" w:rsidP="006C30DC">
      <w:pPr>
        <w:pStyle w:val="ListParagraph"/>
        <w:numPr>
          <w:ilvl w:val="1"/>
          <w:numId w:val="1"/>
        </w:numPr>
      </w:pPr>
      <w:r w:rsidRPr="00382CE6">
        <w:rPr>
          <w:b/>
          <w:bCs/>
        </w:rPr>
        <w:t>Landlord Recruitment:</w:t>
      </w:r>
      <w:r>
        <w:t xml:space="preserve">  </w:t>
      </w:r>
      <w:r w:rsidRPr="006C30DC">
        <w:t xml:space="preserve">CoCs must demonstrate their current strategy for recruiting landlords, and their units, in which to utilize tenant-based </w:t>
      </w:r>
      <w:proofErr w:type="gramStart"/>
      <w:r w:rsidRPr="006C30DC">
        <w:t>assistance</w:t>
      </w:r>
      <w:r>
        <w:t xml:space="preserve">  (</w:t>
      </w:r>
      <w:proofErr w:type="gramEnd"/>
      <w:r>
        <w:t>included in the 15-page narrative).</w:t>
      </w:r>
    </w:p>
    <w:p w14:paraId="1A016F05" w14:textId="6EB83BE5" w:rsidR="006C30DC" w:rsidRDefault="006C30DC" w:rsidP="006C30DC">
      <w:pPr>
        <w:pStyle w:val="ListParagraph"/>
        <w:numPr>
          <w:ilvl w:val="1"/>
          <w:numId w:val="1"/>
        </w:numPr>
      </w:pPr>
      <w:r w:rsidRPr="00382CE6">
        <w:rPr>
          <w:b/>
          <w:bCs/>
        </w:rPr>
        <w:t xml:space="preserve">Leveraging healthcare resources: </w:t>
      </w:r>
      <w:r>
        <w:t xml:space="preserve"> </w:t>
      </w:r>
      <w:r w:rsidRPr="006C30DC">
        <w:t xml:space="preserve">Up to 10 points for CoCs that develop permanent </w:t>
      </w:r>
      <w:proofErr w:type="gramStart"/>
      <w:r w:rsidRPr="006C30DC">
        <w:t>housing</w:t>
      </w:r>
      <w:proofErr w:type="gramEnd"/>
      <w:r w:rsidRPr="006C30DC">
        <w:t xml:space="preserve"> projects that utilize healthcare resources to help individuals and families experiencing homelessness</w:t>
      </w:r>
      <w:r>
        <w:t xml:space="preserve">  – include clear letters of commitment that includes $ amounts for the healthcare resources leveraged (additional attachments).</w:t>
      </w:r>
    </w:p>
    <w:p w14:paraId="2CDEA08D" w14:textId="0F3BB172" w:rsidR="006C30DC" w:rsidRDefault="006C30DC" w:rsidP="006C30DC">
      <w:pPr>
        <w:pStyle w:val="ListParagraph"/>
        <w:numPr>
          <w:ilvl w:val="1"/>
          <w:numId w:val="1"/>
        </w:numPr>
      </w:pPr>
      <w:r w:rsidRPr="00382CE6">
        <w:rPr>
          <w:b/>
          <w:bCs/>
        </w:rPr>
        <w:t>Current Street Outreach Strategy:</w:t>
      </w:r>
      <w:r>
        <w:t xml:space="preserve">  </w:t>
      </w:r>
      <w:r w:rsidRPr="006C30DC">
        <w:t>The extent to which they have a street outreach strategy that regularly engages individuals and families experiencing unsheltered homelessness in the locations where they reside, including a specific strategy for engaging those with the highest vulnerabilities</w:t>
      </w:r>
      <w:r>
        <w:t>.</w:t>
      </w:r>
    </w:p>
    <w:p w14:paraId="00132D6C" w14:textId="20FC2240" w:rsidR="006C30DC" w:rsidRDefault="006C30DC" w:rsidP="006C30DC">
      <w:pPr>
        <w:pStyle w:val="ListParagraph"/>
        <w:numPr>
          <w:ilvl w:val="1"/>
          <w:numId w:val="1"/>
        </w:numPr>
      </w:pPr>
      <w:r w:rsidRPr="00382CE6">
        <w:rPr>
          <w:b/>
          <w:bCs/>
        </w:rPr>
        <w:t xml:space="preserve">Identify and Prioritize Households Experiencing or with Histories of Unsheltered Homelessness: </w:t>
      </w:r>
      <w:r>
        <w:t xml:space="preserve"> </w:t>
      </w:r>
      <w:r w:rsidRPr="006C30DC">
        <w:t>Up to 12 points to CoCs that demonstrate a comprehensive method to identify and provide street outreach services to individuals experiencing unsheltered homelessness, and with histories of unsheltered homelessness and prioritize them for permanent housing.</w:t>
      </w:r>
    </w:p>
    <w:p w14:paraId="03BAB2F7" w14:textId="29BAEFC7" w:rsidR="00382CE6" w:rsidRDefault="00382CE6" w:rsidP="006C30DC">
      <w:pPr>
        <w:pStyle w:val="ListParagraph"/>
        <w:numPr>
          <w:ilvl w:val="1"/>
          <w:numId w:val="1"/>
        </w:numPr>
      </w:pPr>
      <w:r w:rsidRPr="00382CE6">
        <w:rPr>
          <w:b/>
          <w:bCs/>
        </w:rPr>
        <w:lastRenderedPageBreak/>
        <w:t>Involving Individuals with Lived Experience of Homelessness in Decision Making:</w:t>
      </w:r>
      <w:r>
        <w:t xml:space="preserve">  </w:t>
      </w:r>
      <w:r w:rsidRPr="00382CE6">
        <w:t>Up to 5 points for the extent to which CoCs meaningfully include persons with lived experience of homelessness in the decision-making process of the CoC.</w:t>
      </w:r>
    </w:p>
    <w:p w14:paraId="038D7253" w14:textId="58089903" w:rsidR="00382CE6" w:rsidRDefault="00382CE6" w:rsidP="006C30DC">
      <w:pPr>
        <w:pStyle w:val="ListParagraph"/>
        <w:numPr>
          <w:ilvl w:val="1"/>
          <w:numId w:val="1"/>
        </w:numPr>
      </w:pPr>
      <w:r w:rsidRPr="00382CE6">
        <w:rPr>
          <w:b/>
          <w:bCs/>
        </w:rPr>
        <w:t>Supporting Underserved Communities and Supporting Equitable Community Development:</w:t>
      </w:r>
      <w:r>
        <w:t xml:space="preserve">  </w:t>
      </w:r>
      <w:r w:rsidRPr="00382CE6">
        <w:t>Up to 8 points for the extent to which CoCs support and serve underserved communities in their geographic area and offer equitable housing interventions to address their needs.</w:t>
      </w:r>
    </w:p>
    <w:p w14:paraId="5B781563" w14:textId="4F712917" w:rsidR="00205091" w:rsidRDefault="00205091" w:rsidP="00205091">
      <w:pPr>
        <w:pStyle w:val="ListParagraph"/>
        <w:numPr>
          <w:ilvl w:val="0"/>
          <w:numId w:val="1"/>
        </w:numPr>
      </w:pPr>
      <w:r w:rsidRPr="00382CE6">
        <w:rPr>
          <w:b/>
          <w:bCs/>
        </w:rPr>
        <w:t xml:space="preserve">Project Level Applications </w:t>
      </w:r>
      <w:r w:rsidRPr="00205091">
        <w:t>–</w:t>
      </w:r>
      <w:r>
        <w:t xml:space="preserve"> must</w:t>
      </w:r>
      <w:r w:rsidRPr="00205091">
        <w:t xml:space="preserve"> describe the population, the housing/services/budget</w:t>
      </w:r>
    </w:p>
    <w:p w14:paraId="6998526A" w14:textId="6705AABD" w:rsidR="00397678" w:rsidRDefault="00397678" w:rsidP="00205091">
      <w:pPr>
        <w:pStyle w:val="ListParagraph"/>
        <w:numPr>
          <w:ilvl w:val="1"/>
          <w:numId w:val="1"/>
        </w:numPr>
      </w:pPr>
      <w:r w:rsidRPr="00397678">
        <w:t>3 to 5 years</w:t>
      </w:r>
      <w:r>
        <w:t xml:space="preserve"> for bricks/mortar</w:t>
      </w:r>
      <w:r w:rsidRPr="00397678">
        <w:t>. These grants will provide up to 2 years to complete the acquisition, new construction, or rehabilitation activities, and upon completion of the acquisition, new construction, or rehabilitation, will require the remaining grant activities to serve program participants for 3 years. The initial grant term for all other projects will be 3 years</w:t>
      </w:r>
    </w:p>
    <w:p w14:paraId="43423637" w14:textId="7D9F76AA" w:rsidR="00205091" w:rsidRDefault="00C53B5F" w:rsidP="00205091">
      <w:pPr>
        <w:pStyle w:val="ListParagraph"/>
        <w:numPr>
          <w:ilvl w:val="1"/>
          <w:numId w:val="1"/>
        </w:numPr>
      </w:pPr>
      <w:r>
        <w:t>3-year grant terms</w:t>
      </w:r>
      <w:r w:rsidR="00397678">
        <w:t xml:space="preserve"> for non-bricks/mortar</w:t>
      </w:r>
    </w:p>
    <w:p w14:paraId="2642D1B7" w14:textId="1324FC88" w:rsidR="00C53B5F" w:rsidRDefault="00C53B5F" w:rsidP="00205091">
      <w:pPr>
        <w:pStyle w:val="ListParagraph"/>
        <w:numPr>
          <w:ilvl w:val="1"/>
          <w:numId w:val="1"/>
        </w:numPr>
      </w:pPr>
      <w:r>
        <w:t xml:space="preserve">PSH, RRH, TH/RHH joint component, standalone </w:t>
      </w:r>
      <w:r w:rsidR="00397678">
        <w:t>support services only (SSO), CE SSO and Street Outreach SSO.</w:t>
      </w:r>
    </w:p>
    <w:p w14:paraId="2E8A0570" w14:textId="287B6BE4" w:rsidR="00C53B5F" w:rsidRDefault="00C53B5F" w:rsidP="00205091">
      <w:pPr>
        <w:pStyle w:val="ListParagraph"/>
        <w:numPr>
          <w:ilvl w:val="1"/>
          <w:numId w:val="1"/>
        </w:numPr>
      </w:pPr>
      <w:r>
        <w:t>Bricks and mortar funding allowed in the rural set-aside.</w:t>
      </w:r>
    </w:p>
    <w:p w14:paraId="21E6DFB3" w14:textId="79864571" w:rsidR="00C53B5F" w:rsidRDefault="00C53B5F" w:rsidP="00205091">
      <w:pPr>
        <w:pStyle w:val="ListParagraph"/>
        <w:numPr>
          <w:ilvl w:val="1"/>
          <w:numId w:val="1"/>
        </w:numPr>
      </w:pPr>
      <w:r>
        <w:t>Must be new – not a continuation/expansion of a project currently receiving CoC funding.</w:t>
      </w:r>
    </w:p>
    <w:p w14:paraId="6069A80B" w14:textId="77777777" w:rsidR="00382CE6" w:rsidRDefault="00382CE6" w:rsidP="00C53B5F">
      <w:pPr>
        <w:pStyle w:val="ListParagraph"/>
        <w:numPr>
          <w:ilvl w:val="1"/>
          <w:numId w:val="1"/>
        </w:numPr>
      </w:pPr>
      <w:r>
        <w:t>Must participate in Coordinated Entry.</w:t>
      </w:r>
    </w:p>
    <w:p w14:paraId="3E37814A" w14:textId="2133EF22" w:rsidR="00C53B5F" w:rsidRDefault="00382CE6" w:rsidP="00C53B5F">
      <w:pPr>
        <w:pStyle w:val="ListParagraph"/>
        <w:numPr>
          <w:ilvl w:val="1"/>
          <w:numId w:val="1"/>
        </w:numPr>
      </w:pPr>
      <w:r>
        <w:t xml:space="preserve">If the CoC is selected under the rural set-aside HUD will fund projects similarly to how they fund Tier 2 projects.  </w:t>
      </w:r>
      <w:r w:rsidR="00C53B5F">
        <w:t xml:space="preserve">Will be selected by HUD based on the CoC’s overall score, their project ranking within the CoC, and then:  Serving Structurally Disadvantaged Areas. </w:t>
      </w:r>
      <w:r w:rsidR="00397678">
        <w:t>T</w:t>
      </w:r>
      <w:r w:rsidR="00C53B5F">
        <w:t>he project applicant</w:t>
      </w:r>
    </w:p>
    <w:p w14:paraId="7267D4EA" w14:textId="77777777" w:rsidR="00C53B5F" w:rsidRDefault="00C53B5F" w:rsidP="00397678">
      <w:pPr>
        <w:pStyle w:val="ListParagraph"/>
        <w:ind w:left="1440"/>
      </w:pPr>
      <w:proofErr w:type="gramStart"/>
      <w:r>
        <w:t>makes</w:t>
      </w:r>
      <w:proofErr w:type="gramEnd"/>
      <w:r>
        <w:t xml:space="preserve"> a commitment to serve individuals and families in geographic areas that have</w:t>
      </w:r>
    </w:p>
    <w:p w14:paraId="145FF777" w14:textId="77777777" w:rsidR="00C53B5F" w:rsidRDefault="00C53B5F" w:rsidP="00397678">
      <w:pPr>
        <w:pStyle w:val="ListParagraph"/>
        <w:ind w:left="1440"/>
      </w:pPr>
      <w:proofErr w:type="gramStart"/>
      <w:r>
        <w:t>high</w:t>
      </w:r>
      <w:proofErr w:type="gramEnd"/>
      <w:r>
        <w:t xml:space="preserve"> levels of homelessness, housing distress, or poverty, and are located where CoC</w:t>
      </w:r>
    </w:p>
    <w:p w14:paraId="40A55DC8" w14:textId="77777777" w:rsidR="00C53B5F" w:rsidRDefault="00C53B5F" w:rsidP="00397678">
      <w:pPr>
        <w:pStyle w:val="ListParagraph"/>
        <w:ind w:left="1440"/>
      </w:pPr>
      <w:proofErr w:type="gramStart"/>
      <w:r>
        <w:t>services</w:t>
      </w:r>
      <w:proofErr w:type="gramEnd"/>
      <w:r>
        <w:t xml:space="preserve"> have until now been entirely unavailable, such as, for example, trust lands</w:t>
      </w:r>
    </w:p>
    <w:p w14:paraId="365C21AF" w14:textId="7E4C1DF2" w:rsidR="00205091" w:rsidRDefault="00C53B5F" w:rsidP="00382CE6">
      <w:pPr>
        <w:pStyle w:val="ListParagraph"/>
        <w:ind w:left="1440"/>
      </w:pPr>
      <w:proofErr w:type="gramStart"/>
      <w:r>
        <w:t>and</w:t>
      </w:r>
      <w:proofErr w:type="gramEnd"/>
      <w:r>
        <w:t xml:space="preserve"> reservations.</w:t>
      </w:r>
    </w:p>
    <w:sectPr w:rsidR="0020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712E"/>
    <w:multiLevelType w:val="hybridMultilevel"/>
    <w:tmpl w:val="9A6A4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91"/>
    <w:rsid w:val="00205091"/>
    <w:rsid w:val="00382CE6"/>
    <w:rsid w:val="00397678"/>
    <w:rsid w:val="006C30DC"/>
    <w:rsid w:val="00C53B5F"/>
    <w:rsid w:val="00D859B0"/>
    <w:rsid w:val="00EA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F74F"/>
  <w15:chartTrackingRefBased/>
  <w15:docId w15:val="{91A72789-5CEA-4BB1-9B61-8E56FFE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Scott Tibbitts</cp:lastModifiedBy>
  <cp:revision>2</cp:revision>
  <dcterms:created xsi:type="dcterms:W3CDTF">2022-06-30T15:58:00Z</dcterms:created>
  <dcterms:modified xsi:type="dcterms:W3CDTF">2022-06-30T15:58:00Z</dcterms:modified>
</cp:coreProperties>
</file>