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21E6" w:rsidRDefault="004C21E6" w:rsidP="009B24A4">
      <w:pPr>
        <w:pStyle w:val="Title"/>
      </w:pPr>
      <w:bookmarkStart w:id="0" w:name="_GoBack"/>
      <w:bookmarkEnd w:id="0"/>
      <w:r>
        <w:t>COC ESG Recipient Monitoring Process Guide</w:t>
      </w:r>
    </w:p>
    <w:p w:rsidR="009B24A4" w:rsidRDefault="009B24A4" w:rsidP="009B24A4">
      <w:pPr>
        <w:pStyle w:val="Heading1"/>
      </w:pPr>
      <w:r>
        <w:t>Introduction</w:t>
      </w:r>
    </w:p>
    <w:p w:rsidR="004C21E6" w:rsidRDefault="004C21E6">
      <w:pPr>
        <w:rPr>
          <w:szCs w:val="24"/>
        </w:rPr>
      </w:pPr>
      <w:r>
        <w:rPr>
          <w:szCs w:val="24"/>
        </w:rPr>
        <w:t>It is the responsibility of the Maine Continuum of Care (MCOC) to monitor Emergency Solutions Grant (ESG) recipients for compliance with federal regulations and performance measures set by the COC. This guide details the process by which COC representatives conduct monitoring activities.</w:t>
      </w:r>
    </w:p>
    <w:p w:rsidR="009B24A4" w:rsidRDefault="009B24A4" w:rsidP="009B24A4">
      <w:pPr>
        <w:pStyle w:val="Heading1"/>
      </w:pPr>
      <w:r>
        <w:t>Project Monitoring Committee</w:t>
      </w:r>
    </w:p>
    <w:p w:rsidR="009B24A4" w:rsidRDefault="004C21E6">
      <w:pPr>
        <w:rPr>
          <w:szCs w:val="24"/>
        </w:rPr>
      </w:pPr>
      <w:r>
        <w:rPr>
          <w:szCs w:val="24"/>
        </w:rPr>
        <w:t>The work of monitoring ESG recipients is conducted by the MCOC Project Monitoring Committee</w:t>
      </w:r>
      <w:r w:rsidR="003F690C">
        <w:rPr>
          <w:szCs w:val="24"/>
        </w:rPr>
        <w:t xml:space="preserve"> (PMC)</w:t>
      </w:r>
      <w:r>
        <w:rPr>
          <w:szCs w:val="24"/>
        </w:rPr>
        <w:t xml:space="preserve">. The committee shall be comprised of representatives from various agencies participating in the COC. In order to avoid conflicts of interest, the committee will make every effort to maintain at least five members, at least two of which do not work for ESG Recipient agencies, or ESG subrecipient agencies. </w:t>
      </w:r>
      <w:r w:rsidR="009B24A4">
        <w:rPr>
          <w:szCs w:val="24"/>
        </w:rPr>
        <w:t xml:space="preserve">The monitoring of ESG Recipients shall always be conducted by representatives from agencies that do not receive ESG funding; representatives from ESG recipient and subrecipient agencies must recuse themselves from participating in the monitoring. Recused members may attend meetings at which monitoring of their agency occurs, but they may not participate in compiling monitoring data or composing any monitoring findings or concerns. The Project Monitoring committee Chair shall maintain records of all monitoring, and present reports to the COC Board and full COC as requested. </w:t>
      </w:r>
    </w:p>
    <w:p w:rsidR="009B24A4" w:rsidRDefault="009B24A4" w:rsidP="009B24A4">
      <w:pPr>
        <w:pStyle w:val="Heading1"/>
      </w:pPr>
      <w:r>
        <w:t xml:space="preserve">Frequency </w:t>
      </w:r>
      <w:r w:rsidR="003B041E">
        <w:t xml:space="preserve">and Scope </w:t>
      </w:r>
      <w:r>
        <w:t>of Monitoring</w:t>
      </w:r>
    </w:p>
    <w:p w:rsidR="009B24A4" w:rsidRDefault="009B24A4" w:rsidP="009B24A4">
      <w:r>
        <w:t>Monitoring of ESG Recipients shall occur from time to time, at intervals</w:t>
      </w:r>
      <w:r w:rsidR="003F690C">
        <w:t xml:space="preserve"> set by the MCOC or MCOC Board, or as requested by the Department of Housing and Urban Development (HUD).</w:t>
      </w:r>
      <w:r w:rsidR="003B041E">
        <w:t xml:space="preserve"> The requesting body will designate a time period to monitor, typically not less than one (1) grant year. </w:t>
      </w:r>
    </w:p>
    <w:p w:rsidR="009B24A4" w:rsidRDefault="009B24A4" w:rsidP="009B24A4">
      <w:pPr>
        <w:pStyle w:val="Heading1"/>
      </w:pPr>
      <w:r>
        <w:t>Monitoring Preparation</w:t>
      </w:r>
    </w:p>
    <w:p w:rsidR="003F690C" w:rsidRDefault="009B24A4" w:rsidP="003F690C">
      <w:r>
        <w:t xml:space="preserve">Upon the request of the MCOC or MCOC Board, the </w:t>
      </w:r>
      <w:r w:rsidR="003F690C">
        <w:t>PMC</w:t>
      </w:r>
      <w:r>
        <w:t xml:space="preserve"> chair (or the designee of the chair, should the chair be recused due to conflict) shall issue notification to the ESG Recipient agencies of the intent to conduct monitoring. This notice shall occur no less than sixty (60) days prior to the intended monitoring date, issued in the form of an announcement letter to the </w:t>
      </w:r>
      <w:r w:rsidR="003F690C">
        <w:t xml:space="preserve">recipient agency. The PMC will also send a Monitoring Data Sheet and document request with the announcement letter. </w:t>
      </w:r>
    </w:p>
    <w:p w:rsidR="003F690C" w:rsidRDefault="003F690C" w:rsidP="003F690C"/>
    <w:p w:rsidR="003F690C" w:rsidRDefault="003F690C" w:rsidP="003F690C">
      <w:r>
        <w:t xml:space="preserve">Agencies to be monitored will complete the Monitoring Data Sheet, compile the requested documents, and submit those documents to the PMC. These documents will be submitted no less than thirty (30) days after the monitoring announcement is sent. </w:t>
      </w:r>
    </w:p>
    <w:p w:rsidR="003F690C" w:rsidRDefault="003F690C" w:rsidP="003F690C">
      <w:pPr>
        <w:pStyle w:val="Heading1"/>
      </w:pPr>
      <w:r>
        <w:t>Desk Audit</w:t>
      </w:r>
    </w:p>
    <w:p w:rsidR="00116B61" w:rsidRDefault="003F690C" w:rsidP="003F690C">
      <w:r>
        <w:t xml:space="preserve">Upon receiving the requested documents from the recipient agency, the PMC shall designate </w:t>
      </w:r>
      <w:r w:rsidR="001A615C">
        <w:t xml:space="preserve">member(s) of the committee to review those documents prior to the monitoring date. Committee </w:t>
      </w:r>
      <w:r w:rsidR="001A615C">
        <w:lastRenderedPageBreak/>
        <w:t xml:space="preserve">members completing the review shall note any issues </w:t>
      </w:r>
      <w:r w:rsidR="00116B61">
        <w:t xml:space="preserve">that </w:t>
      </w:r>
      <w:r w:rsidR="001A615C">
        <w:t>may denote a regulatory violation or failure to meet performance thresholds as set by the COC.</w:t>
      </w:r>
    </w:p>
    <w:p w:rsidR="002F3257" w:rsidRDefault="002F3257" w:rsidP="002F3257">
      <w:pPr>
        <w:pStyle w:val="Heading1"/>
      </w:pPr>
      <w:r>
        <w:t>Issuing Findings and Concerns</w:t>
      </w:r>
    </w:p>
    <w:p w:rsidR="00116B61" w:rsidRDefault="00116B61" w:rsidP="003F690C">
      <w:r>
        <w:t xml:space="preserve">All potential findings will be sent to the PMC chair or their designee. The potential findings will be compiled into a summary, which will be presented to the full PMC membership. The PMC will then decide if the issues presented require issuing any formal findings. </w:t>
      </w:r>
      <w:r w:rsidR="002F3257">
        <w:t xml:space="preserve">The committee will also decide if there are any issues which are of concern. Concerns are issues that are not direct violations of regulations, but are deficiencies which could cause future findings. </w:t>
      </w:r>
    </w:p>
    <w:p w:rsidR="002F3257" w:rsidRDefault="002F3257" w:rsidP="003F690C"/>
    <w:p w:rsidR="002F3257" w:rsidRDefault="003E1756" w:rsidP="003F690C">
      <w:r>
        <w:t>Once formal findings are</w:t>
      </w:r>
      <w:r w:rsidR="002F3257">
        <w:t xml:space="preserve"> decided upon, the PMC Chair or their designee will draft a findings letter, which details all findings</w:t>
      </w:r>
      <w:r>
        <w:t xml:space="preserve"> and concerns</w:t>
      </w:r>
      <w:r w:rsidR="002F3257">
        <w:t xml:space="preserve">. This </w:t>
      </w:r>
      <w:r>
        <w:t xml:space="preserve">letter is </w:t>
      </w:r>
      <w:r w:rsidR="002F3257">
        <w:t xml:space="preserve">sent to the Recipient agency. </w:t>
      </w:r>
    </w:p>
    <w:p w:rsidR="00874C05" w:rsidRDefault="00874C05" w:rsidP="003F690C"/>
    <w:p w:rsidR="00874C05" w:rsidRDefault="00874C05" w:rsidP="00874C05">
      <w:pPr>
        <w:pStyle w:val="Heading1"/>
      </w:pPr>
      <w:r>
        <w:t>Response to Findings</w:t>
      </w:r>
    </w:p>
    <w:p w:rsidR="00116B61" w:rsidRDefault="00874C05" w:rsidP="003F690C">
      <w:r>
        <w:t xml:space="preserve">The recipient agency will have 30 days from the receipt of the findings letter to compose and submit a response to the findings. Findings in regard to deficient policies will require a draft of an amended, satisfactory policy. Other findings will require an action plan detailing how more findings will be avoided in the future. </w:t>
      </w:r>
      <w:r w:rsidR="003B041E">
        <w:t xml:space="preserve">Concerns are for informational purposes only, and do not require a response. </w:t>
      </w:r>
    </w:p>
    <w:p w:rsidR="003B041E" w:rsidRDefault="003B041E" w:rsidP="003F690C"/>
    <w:p w:rsidR="003B041E" w:rsidRDefault="003B041E" w:rsidP="003B041E">
      <w:pPr>
        <w:pStyle w:val="Heading1"/>
      </w:pPr>
      <w:r>
        <w:t>Findings Reconciliation</w:t>
      </w:r>
    </w:p>
    <w:p w:rsidR="003B041E" w:rsidRDefault="003B041E" w:rsidP="003B041E">
      <w:r>
        <w:t>The PMC will review all findings, and determine if those responses are satisfactory. If there are any findings that are not satisfactory, the PMC will communicate this to</w:t>
      </w:r>
      <w:r w:rsidR="00644950">
        <w:t xml:space="preserve"> the recipient agency, with direction regarding how the response may be adjusted to be in compliance. The agency wil</w:t>
      </w:r>
      <w:r w:rsidR="00E54262">
        <w:t xml:space="preserve">l then submit revised responses. </w:t>
      </w:r>
    </w:p>
    <w:p w:rsidR="00E54262" w:rsidRDefault="00E54262" w:rsidP="003B041E"/>
    <w:p w:rsidR="00E54262" w:rsidRDefault="00E54262" w:rsidP="003B041E">
      <w:r>
        <w:t xml:space="preserve">Once all responses to findings are satisfactory, the PMC will draft a letter to the agency noting that all responses are accepted, and noting that the </w:t>
      </w:r>
      <w:r w:rsidR="005F5F7A">
        <w:t>PMC</w:t>
      </w:r>
      <w:r>
        <w:t xml:space="preserve"> is satisfied with the agency’s compliance. </w:t>
      </w:r>
    </w:p>
    <w:p w:rsidR="005F5F7A" w:rsidRDefault="005F5F7A" w:rsidP="005F5F7A">
      <w:pPr>
        <w:pStyle w:val="Heading1"/>
      </w:pPr>
      <w:r>
        <w:t>Reporting Out</w:t>
      </w:r>
    </w:p>
    <w:p w:rsidR="005F5F7A" w:rsidRPr="005F5F7A" w:rsidRDefault="005F5F7A" w:rsidP="005F5F7A">
      <w:r>
        <w:t xml:space="preserve">Upon completion of monitoring, the PMC will report out all monitoring results to the COC and its Board. The monitoring reports will include any findings and concerns issued, the pertinent data points requested by the COC, and any agency response. Monitoring reports will be shared in a regular COC meeting, as well as disseminated via the Maine Homeless Planning website. </w:t>
      </w:r>
    </w:p>
    <w:p w:rsidR="00116B61" w:rsidRPr="003F690C" w:rsidRDefault="00116B61" w:rsidP="003F690C"/>
    <w:p w:rsidR="009B24A4" w:rsidRPr="009B24A4" w:rsidRDefault="009B24A4" w:rsidP="009B24A4"/>
    <w:sectPr w:rsidR="009B24A4" w:rsidRPr="009B24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oNotDisplayPageBoundaries/>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1E6"/>
    <w:rsid w:val="00116B61"/>
    <w:rsid w:val="001A615C"/>
    <w:rsid w:val="002F3257"/>
    <w:rsid w:val="003B041E"/>
    <w:rsid w:val="003E1756"/>
    <w:rsid w:val="003F690C"/>
    <w:rsid w:val="004C21E6"/>
    <w:rsid w:val="005F5F7A"/>
    <w:rsid w:val="00644950"/>
    <w:rsid w:val="007D2C67"/>
    <w:rsid w:val="007E3E15"/>
    <w:rsid w:val="00845172"/>
    <w:rsid w:val="00874C05"/>
    <w:rsid w:val="009B24A4"/>
    <w:rsid w:val="00A10028"/>
    <w:rsid w:val="00CF4D41"/>
    <w:rsid w:val="00D426FB"/>
    <w:rsid w:val="00D87F0B"/>
    <w:rsid w:val="00E54262"/>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51E33A-2052-42C4-A7D6-4C54C5053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paragraph" w:styleId="Heading1">
    <w:name w:val="heading 1"/>
    <w:basedOn w:val="Normal"/>
    <w:next w:val="Normal"/>
    <w:link w:val="Heading1Char"/>
    <w:uiPriority w:val="9"/>
    <w:qFormat/>
    <w:rsid w:val="009B24A4"/>
    <w:pPr>
      <w:keepNext/>
      <w:keepLines/>
      <w:spacing w:before="240"/>
      <w:outlineLvl w:val="0"/>
    </w:pPr>
    <w:rPr>
      <w:rFonts w:asciiTheme="majorHAnsi" w:eastAsiaTheme="majorEastAsia" w:hAnsiTheme="majorHAnsi" w:cstheme="majorBidi"/>
      <w:color w:val="282C5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customStyle="1" w:styleId="Heading1Char">
    <w:name w:val="Heading 1 Char"/>
    <w:basedOn w:val="DefaultParagraphFont"/>
    <w:link w:val="Heading1"/>
    <w:uiPriority w:val="9"/>
    <w:rsid w:val="009B24A4"/>
    <w:rPr>
      <w:rFonts w:asciiTheme="majorHAnsi" w:eastAsiaTheme="majorEastAsia" w:hAnsiTheme="majorHAnsi" w:cstheme="majorBidi"/>
      <w:color w:val="282C55" w:themeColor="accent1" w:themeShade="BF"/>
      <w:sz w:val="32"/>
      <w:szCs w:val="32"/>
    </w:rPr>
  </w:style>
  <w:style w:type="paragraph" w:styleId="Title">
    <w:name w:val="Title"/>
    <w:basedOn w:val="Normal"/>
    <w:next w:val="Normal"/>
    <w:link w:val="TitleChar"/>
    <w:uiPriority w:val="10"/>
    <w:qFormat/>
    <w:rsid w:val="009B24A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B24A4"/>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9D83C4-8D8F-4DC6-B315-409F617772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720</Words>
  <Characters>4109</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4820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Shaughnessy</dc:creator>
  <cp:keywords/>
  <dc:description/>
  <cp:lastModifiedBy>Scott Tibbitts</cp:lastModifiedBy>
  <cp:revision>2</cp:revision>
  <dcterms:created xsi:type="dcterms:W3CDTF">2019-12-13T18:18:00Z</dcterms:created>
  <dcterms:modified xsi:type="dcterms:W3CDTF">2019-12-13T18:18:00Z</dcterms:modified>
</cp:coreProperties>
</file>