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2" w:rsidRDefault="00794EFA" w:rsidP="00794EFA">
      <w:pPr>
        <w:jc w:val="center"/>
        <w:rPr>
          <w:rFonts w:ascii="Garamond" w:hAnsi="Garamond"/>
          <w:b/>
          <w:sz w:val="28"/>
          <w:szCs w:val="28"/>
        </w:rPr>
      </w:pPr>
      <w:r w:rsidRPr="00794EFA">
        <w:rPr>
          <w:rFonts w:ascii="Garamond" w:hAnsi="Garamond"/>
          <w:b/>
          <w:sz w:val="28"/>
          <w:szCs w:val="28"/>
        </w:rPr>
        <w:t xml:space="preserve">Summary of Public </w:t>
      </w:r>
      <w:r w:rsidR="00736F0F">
        <w:rPr>
          <w:rFonts w:ascii="Garamond" w:hAnsi="Garamond"/>
          <w:b/>
          <w:sz w:val="28"/>
          <w:szCs w:val="28"/>
        </w:rPr>
        <w:t>Input</w:t>
      </w:r>
      <w:r w:rsidRPr="00794EFA">
        <w:rPr>
          <w:rFonts w:ascii="Garamond" w:hAnsi="Garamond"/>
          <w:b/>
          <w:sz w:val="28"/>
          <w:szCs w:val="28"/>
        </w:rPr>
        <w:t xml:space="preserve"> on the</w:t>
      </w:r>
      <w:r w:rsidR="00736F0F">
        <w:rPr>
          <w:rFonts w:ascii="Garamond" w:hAnsi="Garamond"/>
          <w:b/>
          <w:sz w:val="28"/>
          <w:szCs w:val="28"/>
        </w:rPr>
        <w:t xml:space="preserve"> 2019</w:t>
      </w:r>
      <w:r w:rsidRPr="00794EFA">
        <w:rPr>
          <w:rFonts w:ascii="Garamond" w:hAnsi="Garamond"/>
          <w:b/>
          <w:sz w:val="28"/>
          <w:szCs w:val="28"/>
        </w:rPr>
        <w:t xml:space="preserve"> </w:t>
      </w:r>
      <w:r w:rsidR="00736F0F">
        <w:rPr>
          <w:rFonts w:ascii="Garamond" w:hAnsi="Garamond"/>
          <w:b/>
          <w:sz w:val="28"/>
          <w:szCs w:val="28"/>
        </w:rPr>
        <w:t>Annual Action Plan</w:t>
      </w:r>
    </w:p>
    <w:p w:rsidR="00794EFA" w:rsidRDefault="00794EFA" w:rsidP="00794EFA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1101"/>
        <w:gridCol w:w="2191"/>
        <w:gridCol w:w="9483"/>
        <w:gridCol w:w="2610"/>
      </w:tblGrid>
      <w:tr w:rsidR="007966A8" w:rsidTr="008127DE">
        <w:tc>
          <w:tcPr>
            <w:tcW w:w="1101" w:type="dxa"/>
            <w:shd w:val="clear" w:color="auto" w:fill="BFBFBF" w:themeFill="background1" w:themeFillShade="BF"/>
          </w:tcPr>
          <w:p w:rsidR="007966A8" w:rsidRDefault="007966A8" w:rsidP="0007779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#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7966A8" w:rsidRDefault="007966A8" w:rsidP="0007779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Input </w:t>
            </w:r>
          </w:p>
        </w:tc>
        <w:tc>
          <w:tcPr>
            <w:tcW w:w="9483" w:type="dxa"/>
            <w:shd w:val="clear" w:color="auto" w:fill="BFBFBF" w:themeFill="background1" w:themeFillShade="BF"/>
          </w:tcPr>
          <w:p w:rsidR="007966A8" w:rsidRDefault="007966A8" w:rsidP="0007779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Comment Received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7966A8" w:rsidRDefault="007966A8" w:rsidP="0007779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# of Comments</w:t>
            </w:r>
          </w:p>
        </w:tc>
      </w:tr>
      <w:tr w:rsidR="007966A8" w:rsidTr="008127DE">
        <w:tc>
          <w:tcPr>
            <w:tcW w:w="1101" w:type="dxa"/>
          </w:tcPr>
          <w:p w:rsidR="007966A8" w:rsidRPr="00077791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7966A8" w:rsidRPr="00077791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Comment</w:t>
            </w:r>
          </w:p>
        </w:tc>
        <w:tc>
          <w:tcPr>
            <w:tcW w:w="9483" w:type="dxa"/>
          </w:tcPr>
          <w:p w:rsidR="007966A8" w:rsidRPr="00077791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Statement of Support for all programs.  Commenter finds the programs fair and the funds equitably distributed</w:t>
            </w:r>
          </w:p>
        </w:tc>
        <w:tc>
          <w:tcPr>
            <w:tcW w:w="2610" w:type="dxa"/>
          </w:tcPr>
          <w:p w:rsidR="007966A8" w:rsidRDefault="007966A8" w:rsidP="00AB4610">
            <w:pPr>
              <w:autoSpaceDE w:val="0"/>
              <w:autoSpaceDN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7966A8" w:rsidRPr="00077791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Rapid Rehousing Question</w:t>
            </w:r>
          </w:p>
        </w:tc>
        <w:tc>
          <w:tcPr>
            <w:tcW w:w="9483" w:type="dxa"/>
          </w:tcPr>
          <w:p w:rsidR="007966A8" w:rsidRPr="00077791" w:rsidRDefault="007966A8" w:rsidP="00736F0F">
            <w:pPr>
              <w:rPr>
                <w:rFonts w:ascii="Garamond" w:hAnsi="Garamond"/>
                <w:sz w:val="24"/>
                <w:szCs w:val="24"/>
              </w:rPr>
            </w:pPr>
            <w:r>
              <w:t>How Does Rapid Rehousing work? What does Rapid Rehousing mean?</w:t>
            </w:r>
          </w:p>
        </w:tc>
        <w:tc>
          <w:tcPr>
            <w:tcW w:w="2610" w:type="dxa"/>
          </w:tcPr>
          <w:p w:rsidR="007966A8" w:rsidRDefault="007966A8" w:rsidP="00AB4610">
            <w:pPr>
              <w:autoSpaceDE w:val="0"/>
              <w:autoSpaceDN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7966A8" w:rsidDel="00395CA7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LiHTC Question</w:t>
            </w:r>
          </w:p>
        </w:tc>
        <w:tc>
          <w:tcPr>
            <w:tcW w:w="9483" w:type="dxa"/>
          </w:tcPr>
          <w:p w:rsidR="007966A8" w:rsidRDefault="007966A8" w:rsidP="007C6856">
            <w:pPr>
              <w:rPr>
                <w:rFonts w:ascii="Garamond" w:hAnsi="Garamond"/>
                <w:sz w:val="24"/>
                <w:szCs w:val="24"/>
              </w:rPr>
            </w:pPr>
            <w:r>
              <w:t xml:space="preserve">How do HCV and STEP </w:t>
            </w:r>
            <w:r w:rsidR="007C6856">
              <w:t xml:space="preserve">work </w:t>
            </w:r>
            <w:r>
              <w:t>with LiHTC?</w:t>
            </w:r>
          </w:p>
        </w:tc>
        <w:tc>
          <w:tcPr>
            <w:tcW w:w="2610" w:type="dxa"/>
          </w:tcPr>
          <w:p w:rsidR="007966A8" w:rsidRDefault="007966A8" w:rsidP="00DE611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7966A8" w:rsidDel="00395CA7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Rapid Rehousing Question</w:t>
            </w:r>
          </w:p>
        </w:tc>
        <w:tc>
          <w:tcPr>
            <w:tcW w:w="9483" w:type="dxa"/>
          </w:tcPr>
          <w:p w:rsidR="007966A8" w:rsidRDefault="007966A8" w:rsidP="00657FD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does Rapid Rehousing apply to multifamily projects with waiting lists and the HCV waiting list?</w:t>
            </w:r>
          </w:p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Multifamily Question</w:t>
            </w:r>
          </w:p>
        </w:tc>
        <w:tc>
          <w:tcPr>
            <w:tcW w:w="9483" w:type="dxa"/>
          </w:tcPr>
          <w:p w:rsidR="007966A8" w:rsidRDefault="007966A8" w:rsidP="006229D0">
            <w:pPr>
              <w:rPr>
                <w:rFonts w:ascii="Garamond" w:hAnsi="Garamond"/>
                <w:sz w:val="24"/>
                <w:szCs w:val="24"/>
              </w:rPr>
            </w:pPr>
            <w:r>
              <w:t>How do you finance the conversion of vacant school buildings to housing?</w:t>
            </w:r>
          </w:p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Pr="00AB4610" w:rsidRDefault="007C6856" w:rsidP="000753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Statement</w:t>
            </w:r>
          </w:p>
        </w:tc>
        <w:tc>
          <w:tcPr>
            <w:tcW w:w="9483" w:type="dxa"/>
          </w:tcPr>
          <w:p w:rsidR="007966A8" w:rsidRDefault="006C2F8B" w:rsidP="006229D0">
            <w:r>
              <w:t>There are concerns about lo</w:t>
            </w:r>
            <w:r w:rsidR="007966A8">
              <w:t>sing Rural Development / USDA Multifamily projects as the subsidy expires and potential tenant displacement.</w:t>
            </w:r>
          </w:p>
          <w:p w:rsidR="007966A8" w:rsidRPr="00AB4610" w:rsidRDefault="007966A8" w:rsidP="00AA6E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CDBG Question</w:t>
            </w:r>
          </w:p>
        </w:tc>
        <w:tc>
          <w:tcPr>
            <w:tcW w:w="9483" w:type="dxa"/>
          </w:tcPr>
          <w:p w:rsidR="007966A8" w:rsidRPr="00616535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t>Why is there a limit of one application per community for economic development grants?</w:t>
            </w:r>
          </w:p>
        </w:tc>
        <w:tc>
          <w:tcPr>
            <w:tcW w:w="2610" w:type="dxa"/>
          </w:tcPr>
          <w:p w:rsidR="007966A8" w:rsidDel="00DE6112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CDBG Question</w:t>
            </w:r>
          </w:p>
        </w:tc>
        <w:tc>
          <w:tcPr>
            <w:tcW w:w="9483" w:type="dxa"/>
          </w:tcPr>
          <w:p w:rsidR="007966A8" w:rsidRDefault="007966A8" w:rsidP="009F7A7C">
            <w:r>
              <w:t>Could the underground storage tank replacement program help with the need for a municipally owned gas station in a rural community?</w:t>
            </w:r>
          </w:p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rPr>
          <w:trHeight w:val="638"/>
        </w:trPr>
        <w:tc>
          <w:tcPr>
            <w:tcW w:w="1101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191" w:type="dxa"/>
          </w:tcPr>
          <w:p w:rsidR="007966A8" w:rsidRPr="00AB4610" w:rsidRDefault="007966A8" w:rsidP="009F7A7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CDBG </w:t>
            </w:r>
          </w:p>
        </w:tc>
        <w:tc>
          <w:tcPr>
            <w:tcW w:w="9483" w:type="dxa"/>
          </w:tcPr>
          <w:p w:rsidR="007966A8" w:rsidRPr="00AB4610" w:rsidRDefault="007966A8" w:rsidP="005407E4">
            <w:pPr>
              <w:rPr>
                <w:rFonts w:ascii="Garamond" w:hAnsi="Garamond"/>
                <w:sz w:val="24"/>
                <w:szCs w:val="24"/>
              </w:rPr>
            </w:pPr>
            <w:r>
              <w:t>Maine needs more money for Home Repair. </w:t>
            </w:r>
          </w:p>
        </w:tc>
        <w:tc>
          <w:tcPr>
            <w:tcW w:w="2610" w:type="dxa"/>
          </w:tcPr>
          <w:p w:rsidR="007966A8" w:rsidRDefault="007966A8" w:rsidP="004D4B4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CDBG Question</w:t>
            </w:r>
          </w:p>
        </w:tc>
        <w:tc>
          <w:tcPr>
            <w:tcW w:w="9483" w:type="dxa"/>
          </w:tcPr>
          <w:p w:rsidR="007966A8" w:rsidRDefault="007966A8" w:rsidP="009F7A7C">
            <w:r>
              <w:t>Will there be Public Facilities Funding?</w:t>
            </w:r>
          </w:p>
          <w:p w:rsidR="007966A8" w:rsidRPr="0032768B" w:rsidRDefault="007966A8" w:rsidP="00EA02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191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CDBG Question</w:t>
            </w:r>
          </w:p>
        </w:tc>
        <w:tc>
          <w:tcPr>
            <w:tcW w:w="9483" w:type="dxa"/>
          </w:tcPr>
          <w:p w:rsidR="007966A8" w:rsidRDefault="007966A8" w:rsidP="009F7A7C">
            <w:r>
              <w:t>Will there be a Public Service Grant?</w:t>
            </w:r>
          </w:p>
          <w:p w:rsidR="007966A8" w:rsidRDefault="007966A8" w:rsidP="00C848F1"/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286E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:rsidR="007966A8" w:rsidRPr="00AB4610" w:rsidRDefault="007966A8" w:rsidP="00286E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Question</w:t>
            </w:r>
          </w:p>
        </w:tc>
        <w:tc>
          <w:tcPr>
            <w:tcW w:w="9483" w:type="dxa"/>
          </w:tcPr>
          <w:p w:rsidR="007966A8" w:rsidRDefault="007966A8" w:rsidP="009F7A7C">
            <w:r>
              <w:t>How is the Opioid Crisis being addressed?</w:t>
            </w:r>
          </w:p>
          <w:p w:rsidR="007966A8" w:rsidRDefault="007966A8" w:rsidP="00286E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66A8" w:rsidRDefault="007966A8" w:rsidP="00286E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ESHAP Question</w:t>
            </w:r>
          </w:p>
        </w:tc>
        <w:tc>
          <w:tcPr>
            <w:tcW w:w="9483" w:type="dxa"/>
          </w:tcPr>
          <w:p w:rsidR="007966A8" w:rsidRPr="00AB4610" w:rsidRDefault="007966A8" w:rsidP="00EA0208">
            <w:pPr>
              <w:rPr>
                <w:rFonts w:ascii="Garamond" w:hAnsi="Garamond"/>
                <w:sz w:val="24"/>
                <w:szCs w:val="24"/>
              </w:rPr>
            </w:pPr>
            <w:r>
              <w:t>Is there Navigator like support for inmates being released from jails?</w:t>
            </w:r>
          </w:p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ESG Question</w:t>
            </w:r>
          </w:p>
        </w:tc>
        <w:tc>
          <w:tcPr>
            <w:tcW w:w="9483" w:type="dxa"/>
          </w:tcPr>
          <w:p w:rsidR="007966A8" w:rsidRDefault="007966A8" w:rsidP="009F7A7C">
            <w:r>
              <w:t>Are D/V shelters funded with ESG?</w:t>
            </w:r>
          </w:p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191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ESG Question</w:t>
            </w:r>
          </w:p>
        </w:tc>
        <w:tc>
          <w:tcPr>
            <w:tcW w:w="9483" w:type="dxa"/>
          </w:tcPr>
          <w:p w:rsidR="007966A8" w:rsidRPr="0032768B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t>The relationship between MaineHousing as the ESG recipient and the CoC responsibility to monitor the funds is unclear.</w:t>
            </w:r>
          </w:p>
        </w:tc>
        <w:tc>
          <w:tcPr>
            <w:tcW w:w="2610" w:type="dxa"/>
          </w:tcPr>
          <w:p w:rsidR="007966A8" w:rsidRDefault="007966A8" w:rsidP="00C53A0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 5 Year Plan</w:t>
            </w:r>
          </w:p>
        </w:tc>
        <w:tc>
          <w:tcPr>
            <w:tcW w:w="9483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t>The CoC is discussing a Needs and Gaps analysis, they suggest that this information be used in the upcoming 5 Year Consolidated Plan.  This analysis should include information on failure to lease</w:t>
            </w:r>
            <w:r w:rsidR="00D50BF8">
              <w:t>.</w:t>
            </w:r>
          </w:p>
        </w:tc>
        <w:tc>
          <w:tcPr>
            <w:tcW w:w="2610" w:type="dxa"/>
          </w:tcPr>
          <w:p w:rsidR="007966A8" w:rsidDel="00804355" w:rsidRDefault="007966A8" w:rsidP="00C53A0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7966A8" w:rsidTr="008127DE">
        <w:tc>
          <w:tcPr>
            <w:tcW w:w="1101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</w:t>
            </w:r>
          </w:p>
        </w:tc>
        <w:tc>
          <w:tcPr>
            <w:tcW w:w="9483" w:type="dxa"/>
          </w:tcPr>
          <w:p w:rsidR="007966A8" w:rsidRPr="00AB4610" w:rsidRDefault="007966A8" w:rsidP="005A24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 funds should be focused on Chronic Homeless</w:t>
            </w:r>
          </w:p>
        </w:tc>
        <w:tc>
          <w:tcPr>
            <w:tcW w:w="2610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</w:t>
            </w:r>
          </w:p>
        </w:tc>
        <w:tc>
          <w:tcPr>
            <w:tcW w:w="9483" w:type="dxa"/>
          </w:tcPr>
          <w:p w:rsidR="007966A8" w:rsidRPr="00AB4610" w:rsidRDefault="007966A8" w:rsidP="001F5A01">
            <w:r w:rsidRPr="001F5A01">
              <w:rPr>
                <w:rFonts w:ascii="Garamond" w:hAnsi="Garamond"/>
                <w:sz w:val="24"/>
                <w:szCs w:val="24"/>
              </w:rPr>
              <w:t>MaineHousing is urged to help with Long Term Stayers.  The STEP pro</w:t>
            </w:r>
            <w:r w:rsidR="001F5A01" w:rsidRPr="001F5A01">
              <w:rPr>
                <w:rFonts w:ascii="Garamond" w:hAnsi="Garamond"/>
                <w:sz w:val="24"/>
                <w:szCs w:val="24"/>
              </w:rPr>
              <w:t xml:space="preserve">gram is contrary to the way the </w:t>
            </w:r>
            <w:r w:rsidRPr="001F5A01">
              <w:rPr>
                <w:rFonts w:ascii="Garamond" w:hAnsi="Garamond"/>
                <w:sz w:val="24"/>
                <w:szCs w:val="24"/>
              </w:rPr>
              <w:t>CoC is trying to empty Shelters</w:t>
            </w:r>
            <w:r w:rsidR="00117A1D" w:rsidRPr="001F5A01">
              <w:rPr>
                <w:rFonts w:ascii="Garamond" w:hAnsi="Garamond"/>
                <w:sz w:val="24"/>
                <w:szCs w:val="24"/>
              </w:rPr>
              <w:t>.  Funding should focus on working from longest to shortest.</w:t>
            </w:r>
          </w:p>
        </w:tc>
        <w:tc>
          <w:tcPr>
            <w:tcW w:w="2610" w:type="dxa"/>
          </w:tcPr>
          <w:p w:rsidR="007966A8" w:rsidRPr="00AB4610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</w:t>
            </w:r>
          </w:p>
        </w:tc>
        <w:tc>
          <w:tcPr>
            <w:tcW w:w="9483" w:type="dxa"/>
          </w:tcPr>
          <w:p w:rsidR="007966A8" w:rsidRDefault="007966A8" w:rsidP="00A02D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should be a balanced approach to assisting the Homeless, not a focus on one population to the exclusion of other populations.  F</w:t>
            </w:r>
            <w:r w:rsidRPr="00A02DAD">
              <w:rPr>
                <w:rFonts w:ascii="Garamond" w:hAnsi="Garamond"/>
                <w:sz w:val="24"/>
                <w:szCs w:val="24"/>
              </w:rPr>
              <w:t xml:space="preserve">ocusing solely on Long Term Stayers and not having more STEP resources – </w:t>
            </w:r>
            <w:r>
              <w:rPr>
                <w:rFonts w:ascii="Garamond" w:hAnsi="Garamond"/>
                <w:sz w:val="24"/>
                <w:szCs w:val="24"/>
              </w:rPr>
              <w:t>causes</w:t>
            </w:r>
            <w:r w:rsidRPr="00A02DAD">
              <w:rPr>
                <w:rFonts w:ascii="Garamond" w:hAnsi="Garamond"/>
                <w:sz w:val="24"/>
                <w:szCs w:val="24"/>
              </w:rPr>
              <w:t xml:space="preserve"> people to become Long Ter</w:t>
            </w:r>
            <w:r w:rsidR="00D50BF8">
              <w:rPr>
                <w:rFonts w:ascii="Garamond" w:hAnsi="Garamond"/>
                <w:sz w:val="24"/>
                <w:szCs w:val="24"/>
              </w:rPr>
              <w:t>m Stayers because we centralize</w:t>
            </w:r>
            <w:r w:rsidRPr="00A02DAD">
              <w:rPr>
                <w:rFonts w:ascii="Garamond" w:hAnsi="Garamond"/>
                <w:sz w:val="24"/>
                <w:szCs w:val="24"/>
              </w:rPr>
              <w:t xml:space="preserve"> our resources to nearly exclusively serve this population.</w:t>
            </w:r>
          </w:p>
        </w:tc>
        <w:tc>
          <w:tcPr>
            <w:tcW w:w="2610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50BB3" w:rsidTr="008127DE">
        <w:tc>
          <w:tcPr>
            <w:tcW w:w="1101" w:type="dxa"/>
          </w:tcPr>
          <w:p w:rsidR="00B50BB3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191" w:type="dxa"/>
          </w:tcPr>
          <w:p w:rsidR="00B50BB3" w:rsidRDefault="00B50BB3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</w:t>
            </w:r>
          </w:p>
        </w:tc>
        <w:tc>
          <w:tcPr>
            <w:tcW w:w="9483" w:type="dxa"/>
          </w:tcPr>
          <w:p w:rsidR="00B50BB3" w:rsidRPr="00B70CC1" w:rsidRDefault="001F5A01" w:rsidP="00D50B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When directing r</w:t>
            </w:r>
            <w:r w:rsidR="00B50BB3">
              <w:rPr>
                <w:rFonts w:ascii="Garamond" w:hAnsi="Garamond"/>
                <w:sz w:val="24"/>
                <w:szCs w:val="24"/>
              </w:rPr>
              <w:t xml:space="preserve">esources </w:t>
            </w:r>
            <w:r>
              <w:rPr>
                <w:rFonts w:ascii="Garamond" w:hAnsi="Garamond"/>
                <w:sz w:val="24"/>
                <w:szCs w:val="24"/>
              </w:rPr>
              <w:t>vulnerability</w:t>
            </w:r>
            <w:r w:rsidR="00B50BB3">
              <w:rPr>
                <w:rFonts w:ascii="Garamond" w:hAnsi="Garamond"/>
                <w:sz w:val="24"/>
                <w:szCs w:val="24"/>
              </w:rPr>
              <w:t xml:space="preserve"> should be considered vs. length. </w:t>
            </w:r>
          </w:p>
        </w:tc>
        <w:tc>
          <w:tcPr>
            <w:tcW w:w="2610" w:type="dxa"/>
          </w:tcPr>
          <w:p w:rsidR="00B50BB3" w:rsidRDefault="00997B55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50BB3" w:rsidTr="008127DE">
        <w:tc>
          <w:tcPr>
            <w:tcW w:w="1101" w:type="dxa"/>
          </w:tcPr>
          <w:p w:rsidR="00B50BB3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191" w:type="dxa"/>
          </w:tcPr>
          <w:p w:rsidR="00B50BB3" w:rsidRDefault="00997B55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</w:t>
            </w:r>
          </w:p>
        </w:tc>
        <w:tc>
          <w:tcPr>
            <w:tcW w:w="9483" w:type="dxa"/>
          </w:tcPr>
          <w:p w:rsidR="00B50BB3" w:rsidRDefault="00B50BB3" w:rsidP="00D50B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Long term stayers are </w:t>
            </w:r>
            <w:r w:rsidR="001F5A01">
              <w:rPr>
                <w:rFonts w:ascii="Garamond" w:hAnsi="Garamond"/>
                <w:sz w:val="24"/>
                <w:szCs w:val="24"/>
              </w:rPr>
              <w:t>vulnerable</w:t>
            </w:r>
            <w:r>
              <w:rPr>
                <w:rFonts w:ascii="Garamond" w:hAnsi="Garamond"/>
                <w:sz w:val="24"/>
                <w:szCs w:val="24"/>
              </w:rPr>
              <w:t>. We have a lot of work to do.</w:t>
            </w:r>
          </w:p>
        </w:tc>
        <w:tc>
          <w:tcPr>
            <w:tcW w:w="2610" w:type="dxa"/>
          </w:tcPr>
          <w:p w:rsidR="00B50BB3" w:rsidRDefault="00997B55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191" w:type="dxa"/>
          </w:tcPr>
          <w:p w:rsidR="007966A8" w:rsidRPr="00AB4610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</w:t>
            </w:r>
          </w:p>
        </w:tc>
        <w:tc>
          <w:tcPr>
            <w:tcW w:w="9483" w:type="dxa"/>
          </w:tcPr>
          <w:p w:rsidR="007966A8" w:rsidRDefault="007966A8" w:rsidP="00D50BF8">
            <w:pPr>
              <w:rPr>
                <w:rFonts w:ascii="Garamond" w:hAnsi="Garamond"/>
                <w:sz w:val="24"/>
                <w:szCs w:val="24"/>
              </w:rPr>
            </w:pPr>
            <w:r w:rsidRPr="00B70CC1">
              <w:rPr>
                <w:rFonts w:ascii="Garamond" w:hAnsi="Garamond"/>
                <w:sz w:val="24"/>
                <w:szCs w:val="24"/>
              </w:rPr>
              <w:t xml:space="preserve">Step is an amazing resource and we cannot afford to lose it.  </w:t>
            </w:r>
            <w:r w:rsidR="00B50BB3">
              <w:rPr>
                <w:rFonts w:ascii="Garamond" w:hAnsi="Garamond"/>
                <w:sz w:val="24"/>
                <w:szCs w:val="24"/>
              </w:rPr>
              <w:t xml:space="preserve">We have had a lot of success with long term stayers.  STEP </w:t>
            </w:r>
            <w:r w:rsidRPr="00B70CC1">
              <w:rPr>
                <w:rFonts w:ascii="Garamond" w:hAnsi="Garamond"/>
                <w:sz w:val="24"/>
                <w:szCs w:val="24"/>
              </w:rPr>
              <w:t>allows</w:t>
            </w:r>
            <w:r w:rsidRPr="00B70CC1">
              <w:rPr>
                <w:color w:val="C00000"/>
              </w:rPr>
              <w:t xml:space="preserve"> </w:t>
            </w:r>
            <w:r>
              <w:t>the shelters to serve more clients by emptying beds and making those available to others.</w:t>
            </w:r>
          </w:p>
        </w:tc>
        <w:tc>
          <w:tcPr>
            <w:tcW w:w="2610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B50BB3" w:rsidTr="008127DE">
        <w:tc>
          <w:tcPr>
            <w:tcW w:w="1101" w:type="dxa"/>
          </w:tcPr>
          <w:p w:rsidR="00B50BB3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191" w:type="dxa"/>
          </w:tcPr>
          <w:p w:rsidR="00B50BB3" w:rsidRDefault="00997B55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</w:t>
            </w:r>
          </w:p>
        </w:tc>
        <w:tc>
          <w:tcPr>
            <w:tcW w:w="9483" w:type="dxa"/>
          </w:tcPr>
          <w:p w:rsidR="00B50BB3" w:rsidRDefault="00B50BB3" w:rsidP="00D50BF8">
            <w:r>
              <w:t>Maine has lost BRAP.  There is no resource for Long Term Stayers, MaineHousing is urged to help with this.</w:t>
            </w:r>
          </w:p>
        </w:tc>
        <w:tc>
          <w:tcPr>
            <w:tcW w:w="2610" w:type="dxa"/>
          </w:tcPr>
          <w:p w:rsidR="00B50BB3" w:rsidRDefault="00997B55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191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 / HTF</w:t>
            </w:r>
          </w:p>
        </w:tc>
        <w:tc>
          <w:tcPr>
            <w:tcW w:w="9483" w:type="dxa"/>
          </w:tcPr>
          <w:p w:rsidR="007966A8" w:rsidRPr="00B70CC1" w:rsidRDefault="007966A8" w:rsidP="00D50BF8">
            <w:pPr>
              <w:rPr>
                <w:rFonts w:ascii="Garamond" w:hAnsi="Garamond"/>
                <w:sz w:val="24"/>
                <w:szCs w:val="24"/>
              </w:rPr>
            </w:pPr>
            <w:r>
              <w:t>Maine has a housing crisis, we need to develop housing</w:t>
            </w:r>
            <w:r w:rsidR="00B50BB3">
              <w:t xml:space="preserve"> statewide</w:t>
            </w:r>
            <w:r w:rsidR="00035FA4">
              <w:t xml:space="preserve"> (especially </w:t>
            </w:r>
            <w:proofErr w:type="spellStart"/>
            <w:r w:rsidR="00035FA4">
              <w:t>acc</w:t>
            </w:r>
            <w:r>
              <w:t>essable</w:t>
            </w:r>
            <w:proofErr w:type="spellEnd"/>
            <w:r>
              <w:t xml:space="preserve"> housing) and housing for people with special needs.</w:t>
            </w:r>
          </w:p>
        </w:tc>
        <w:tc>
          <w:tcPr>
            <w:tcW w:w="2610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50BB3" w:rsidTr="008127DE">
        <w:tc>
          <w:tcPr>
            <w:tcW w:w="1101" w:type="dxa"/>
          </w:tcPr>
          <w:p w:rsidR="00B50BB3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191" w:type="dxa"/>
          </w:tcPr>
          <w:p w:rsidR="00B50BB3" w:rsidRDefault="00997B55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</w:t>
            </w:r>
          </w:p>
        </w:tc>
        <w:tc>
          <w:tcPr>
            <w:tcW w:w="9483" w:type="dxa"/>
          </w:tcPr>
          <w:p w:rsidR="00B50BB3" w:rsidRDefault="00B50BB3" w:rsidP="00D50BF8">
            <w:r>
              <w:t>STEP should be more flexible.</w:t>
            </w:r>
          </w:p>
        </w:tc>
        <w:tc>
          <w:tcPr>
            <w:tcW w:w="2610" w:type="dxa"/>
          </w:tcPr>
          <w:p w:rsidR="00B50BB3" w:rsidRDefault="00997B55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2191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</w:t>
            </w:r>
          </w:p>
        </w:tc>
        <w:tc>
          <w:tcPr>
            <w:tcW w:w="9483" w:type="dxa"/>
          </w:tcPr>
          <w:p w:rsidR="007966A8" w:rsidRDefault="007966A8" w:rsidP="00D50BF8">
            <w:r>
              <w:t>MaineHousing is urged to redirect the HOME fund to supportive housing and to make LIHTC funded projects more receptive of Homeless</w:t>
            </w:r>
            <w:r w:rsidR="001F5A01">
              <w:t>ness</w:t>
            </w:r>
            <w:r>
              <w:t>.</w:t>
            </w:r>
          </w:p>
        </w:tc>
        <w:tc>
          <w:tcPr>
            <w:tcW w:w="2610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191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Comment</w:t>
            </w:r>
          </w:p>
        </w:tc>
        <w:tc>
          <w:tcPr>
            <w:tcW w:w="9483" w:type="dxa"/>
          </w:tcPr>
          <w:p w:rsidR="007966A8" w:rsidRDefault="007966A8" w:rsidP="00D50BF8">
            <w:r>
              <w:t>Poverty is the issue</w:t>
            </w:r>
            <w:r w:rsidR="001F5A01">
              <w:t>.</w:t>
            </w:r>
          </w:p>
        </w:tc>
        <w:tc>
          <w:tcPr>
            <w:tcW w:w="2610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7966A8" w:rsidTr="008127DE">
        <w:tc>
          <w:tcPr>
            <w:tcW w:w="1101" w:type="dxa"/>
          </w:tcPr>
          <w:p w:rsidR="007966A8" w:rsidRDefault="00B50BB3" w:rsidP="00C127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2191" w:type="dxa"/>
          </w:tcPr>
          <w:p w:rsidR="007966A8" w:rsidRDefault="007966A8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ESG / HTF</w:t>
            </w:r>
          </w:p>
        </w:tc>
        <w:tc>
          <w:tcPr>
            <w:tcW w:w="9483" w:type="dxa"/>
          </w:tcPr>
          <w:p w:rsidR="007966A8" w:rsidRDefault="007966A8" w:rsidP="00D50BF8">
            <w:r>
              <w:t>MaineHousing was complimented for the use of ESG for housing navigators and shelter operating funds.  There was also an acknowledgement that HTF includes priorities for serving Homeless.</w:t>
            </w:r>
          </w:p>
        </w:tc>
        <w:tc>
          <w:tcPr>
            <w:tcW w:w="2610" w:type="dxa"/>
          </w:tcPr>
          <w:p w:rsidR="007966A8" w:rsidRDefault="007C6856" w:rsidP="000777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077791" w:rsidRPr="00EB149D" w:rsidRDefault="00077791" w:rsidP="00FE7A18">
      <w:pPr>
        <w:rPr>
          <w:rFonts w:ascii="Garamond" w:hAnsi="Garamond"/>
          <w:sz w:val="28"/>
          <w:szCs w:val="28"/>
        </w:rPr>
      </w:pPr>
    </w:p>
    <w:sectPr w:rsidR="00077791" w:rsidRPr="00EB149D" w:rsidSect="00AB461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CA9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6617CE"/>
    <w:multiLevelType w:val="hybridMultilevel"/>
    <w:tmpl w:val="E78C6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C1DE2"/>
    <w:multiLevelType w:val="hybridMultilevel"/>
    <w:tmpl w:val="25EA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4E5D"/>
    <w:multiLevelType w:val="hybridMultilevel"/>
    <w:tmpl w:val="2B9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A"/>
    <w:rsid w:val="00021B42"/>
    <w:rsid w:val="00035FA4"/>
    <w:rsid w:val="000462D1"/>
    <w:rsid w:val="00054072"/>
    <w:rsid w:val="00060F65"/>
    <w:rsid w:val="00075390"/>
    <w:rsid w:val="00077791"/>
    <w:rsid w:val="000C27E7"/>
    <w:rsid w:val="000D77A7"/>
    <w:rsid w:val="000F1993"/>
    <w:rsid w:val="00117A1D"/>
    <w:rsid w:val="00123287"/>
    <w:rsid w:val="001B3405"/>
    <w:rsid w:val="001C2BB3"/>
    <w:rsid w:val="001F5A01"/>
    <w:rsid w:val="00307B1D"/>
    <w:rsid w:val="0032768B"/>
    <w:rsid w:val="00346280"/>
    <w:rsid w:val="003772A7"/>
    <w:rsid w:val="00395CA7"/>
    <w:rsid w:val="004D4B47"/>
    <w:rsid w:val="004E52FA"/>
    <w:rsid w:val="00501747"/>
    <w:rsid w:val="00526525"/>
    <w:rsid w:val="005407E4"/>
    <w:rsid w:val="005A2438"/>
    <w:rsid w:val="005D3FC9"/>
    <w:rsid w:val="00606ECD"/>
    <w:rsid w:val="00616535"/>
    <w:rsid w:val="006229D0"/>
    <w:rsid w:val="00657FD0"/>
    <w:rsid w:val="006615A8"/>
    <w:rsid w:val="006C2F8B"/>
    <w:rsid w:val="006C3C43"/>
    <w:rsid w:val="00736F0F"/>
    <w:rsid w:val="00745EB8"/>
    <w:rsid w:val="00794EFA"/>
    <w:rsid w:val="007966A8"/>
    <w:rsid w:val="007A1F20"/>
    <w:rsid w:val="007C6856"/>
    <w:rsid w:val="00804355"/>
    <w:rsid w:val="00810DF5"/>
    <w:rsid w:val="008127DE"/>
    <w:rsid w:val="00847410"/>
    <w:rsid w:val="008A12BB"/>
    <w:rsid w:val="008B3865"/>
    <w:rsid w:val="008E1E75"/>
    <w:rsid w:val="009057CB"/>
    <w:rsid w:val="00922B13"/>
    <w:rsid w:val="009251B6"/>
    <w:rsid w:val="00997B55"/>
    <w:rsid w:val="009A144D"/>
    <w:rsid w:val="009F7A7C"/>
    <w:rsid w:val="00A02DAD"/>
    <w:rsid w:val="00A70830"/>
    <w:rsid w:val="00A76DD0"/>
    <w:rsid w:val="00AA637B"/>
    <w:rsid w:val="00AA6E04"/>
    <w:rsid w:val="00AB4610"/>
    <w:rsid w:val="00AD51B3"/>
    <w:rsid w:val="00AD5BEE"/>
    <w:rsid w:val="00B50BB3"/>
    <w:rsid w:val="00B70CC1"/>
    <w:rsid w:val="00C127ED"/>
    <w:rsid w:val="00C41EE0"/>
    <w:rsid w:val="00C47E04"/>
    <w:rsid w:val="00C53A07"/>
    <w:rsid w:val="00C67ACA"/>
    <w:rsid w:val="00C848F1"/>
    <w:rsid w:val="00C8500A"/>
    <w:rsid w:val="00CD27EF"/>
    <w:rsid w:val="00CF7F14"/>
    <w:rsid w:val="00D50BF8"/>
    <w:rsid w:val="00D81AE5"/>
    <w:rsid w:val="00D95EC9"/>
    <w:rsid w:val="00DE6112"/>
    <w:rsid w:val="00E77082"/>
    <w:rsid w:val="00E92842"/>
    <w:rsid w:val="00EA0208"/>
    <w:rsid w:val="00EB149D"/>
    <w:rsid w:val="00F35C83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E48F2-9921-4A63-90A1-365A9739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1E75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117A1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754A-F73B-4350-BCE9-86D03EA3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Weber</dc:creator>
  <cp:lastModifiedBy>Paula Weber</cp:lastModifiedBy>
  <cp:revision>16</cp:revision>
  <cp:lastPrinted>2016-08-08T18:15:00Z</cp:lastPrinted>
  <dcterms:created xsi:type="dcterms:W3CDTF">2018-08-08T19:17:00Z</dcterms:created>
  <dcterms:modified xsi:type="dcterms:W3CDTF">2018-08-13T18:59:00Z</dcterms:modified>
</cp:coreProperties>
</file>