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36AC2A0B"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E83F9E">
        <w:rPr>
          <w:rFonts w:cstheme="minorHAnsi"/>
          <w:b/>
          <w:sz w:val="21"/>
          <w:szCs w:val="21"/>
        </w:rPr>
        <w:t>6</w:t>
      </w:r>
      <w:r w:rsidR="002817E7" w:rsidRPr="00A72B65">
        <w:rPr>
          <w:rFonts w:cstheme="minorHAnsi"/>
          <w:b/>
          <w:sz w:val="21"/>
          <w:szCs w:val="21"/>
        </w:rPr>
        <w:t>/</w:t>
      </w:r>
      <w:r w:rsidR="00E83F9E">
        <w:rPr>
          <w:rFonts w:cstheme="minorHAnsi"/>
          <w:b/>
          <w:sz w:val="21"/>
          <w:szCs w:val="21"/>
        </w:rPr>
        <w:t>1</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38FBE37E" w14:textId="770FFF00" w:rsidR="00B935BB" w:rsidRPr="008523BB" w:rsidRDefault="00B935BB" w:rsidP="00CC3DC9">
      <w:pPr>
        <w:pStyle w:val="ListParagraph"/>
        <w:numPr>
          <w:ilvl w:val="0"/>
          <w:numId w:val="6"/>
        </w:numPr>
        <w:spacing w:after="0" w:line="240" w:lineRule="auto"/>
        <w:ind w:left="360"/>
        <w:rPr>
          <w:rFonts w:eastAsia="Times New Roman" w:cstheme="minorHAnsi"/>
          <w:color w:val="000000"/>
          <w:sz w:val="21"/>
          <w:szCs w:val="21"/>
        </w:rPr>
      </w:pPr>
      <w:r w:rsidRPr="00B935BB">
        <w:rPr>
          <w:rFonts w:eastAsia="Times New Roman" w:cstheme="minorHAnsi"/>
          <w:b/>
          <w:color w:val="000000"/>
          <w:sz w:val="21"/>
          <w:szCs w:val="21"/>
        </w:rPr>
        <w:t xml:space="preserve">H.R. 2: Agriculture and Nutrition Act of 2018 – </w:t>
      </w:r>
      <w:r w:rsidR="00CC3DC9" w:rsidRPr="00CC3DC9">
        <w:rPr>
          <w:rFonts w:eastAsia="Times New Roman" w:cstheme="minorHAnsi"/>
          <w:b/>
          <w:i/>
          <w:color w:val="000000"/>
          <w:sz w:val="21"/>
          <w:szCs w:val="21"/>
          <w:highlight w:val="yellow"/>
          <w:u w:val="single"/>
        </w:rPr>
        <w:t>Update</w:t>
      </w:r>
      <w:r w:rsidRPr="00B935BB">
        <w:rPr>
          <w:rFonts w:eastAsia="Times New Roman" w:cstheme="minorHAnsi"/>
          <w:b/>
          <w:color w:val="000000"/>
          <w:sz w:val="21"/>
          <w:szCs w:val="21"/>
        </w:rPr>
        <w:t xml:space="preserve"> –</w:t>
      </w:r>
      <w:r w:rsidRPr="00B935BB">
        <w:rPr>
          <w:rFonts w:eastAsia="Times New Roman" w:cstheme="minorHAnsi"/>
          <w:color w:val="000000"/>
          <w:sz w:val="21"/>
          <w:szCs w:val="21"/>
        </w:rPr>
        <w:t xml:space="preserve"> </w:t>
      </w:r>
      <w:r w:rsidR="008523BB" w:rsidRPr="008523BB">
        <w:rPr>
          <w:rFonts w:eastAsia="Times New Roman" w:cstheme="minorHAnsi"/>
          <w:color w:val="000000"/>
          <w:sz w:val="21"/>
          <w:szCs w:val="21"/>
          <w:highlight w:val="yellow"/>
          <w:u w:val="single"/>
        </w:rPr>
        <w:t>On 5/18/18, the House failed to pass this bill.</w:t>
      </w:r>
      <w:r w:rsidR="008523BB">
        <w:rPr>
          <w:rFonts w:eastAsia="Times New Roman" w:cstheme="minorHAnsi"/>
          <w:color w:val="000000"/>
          <w:sz w:val="21"/>
          <w:szCs w:val="21"/>
        </w:rPr>
        <w:t xml:space="preserve">  This bill would have </w:t>
      </w:r>
      <w:r w:rsidRPr="00B935BB">
        <w:rPr>
          <w:rFonts w:eastAsia="Times New Roman" w:cstheme="minorHAnsi"/>
          <w:color w:val="000000"/>
          <w:sz w:val="21"/>
          <w:szCs w:val="21"/>
        </w:rPr>
        <w:t xml:space="preserve">cut SNAP benefits by more than $17 billion over the next ten years.  </w:t>
      </w:r>
      <w:r w:rsidR="008523BB">
        <w:rPr>
          <w:rFonts w:eastAsia="Times New Roman" w:cstheme="minorHAnsi"/>
          <w:color w:val="000000"/>
          <w:sz w:val="21"/>
          <w:szCs w:val="21"/>
        </w:rPr>
        <w:t xml:space="preserve">And, it would have </w:t>
      </w:r>
      <w:r w:rsidRPr="00B935BB">
        <w:rPr>
          <w:rFonts w:eastAsia="Times New Roman" w:cstheme="minorHAnsi"/>
          <w:color w:val="000000"/>
          <w:sz w:val="21"/>
          <w:szCs w:val="21"/>
        </w:rPr>
        <w:t>eliminate</w:t>
      </w:r>
      <w:r w:rsidR="008523BB">
        <w:rPr>
          <w:rFonts w:eastAsia="Times New Roman" w:cstheme="minorHAnsi"/>
          <w:color w:val="000000"/>
          <w:sz w:val="21"/>
          <w:szCs w:val="21"/>
        </w:rPr>
        <w:t>d</w:t>
      </w:r>
      <w:r w:rsidRPr="00B935BB">
        <w:rPr>
          <w:rFonts w:eastAsia="Times New Roman" w:cstheme="minorHAnsi"/>
          <w:color w:val="000000"/>
          <w:sz w:val="21"/>
          <w:szCs w:val="21"/>
        </w:rPr>
        <w:t xml:space="preserve"> “categorical eligibility,” </w:t>
      </w:r>
      <w:r w:rsidR="008523BB">
        <w:rPr>
          <w:rFonts w:eastAsia="Times New Roman" w:cstheme="minorHAnsi"/>
          <w:color w:val="000000"/>
          <w:sz w:val="21"/>
          <w:szCs w:val="21"/>
        </w:rPr>
        <w:t>imposed</w:t>
      </w:r>
      <w:r w:rsidRPr="00B935BB">
        <w:rPr>
          <w:rFonts w:eastAsia="Times New Roman" w:cstheme="minorHAnsi"/>
          <w:color w:val="000000"/>
          <w:sz w:val="21"/>
          <w:szCs w:val="21"/>
        </w:rPr>
        <w:t xml:space="preserve"> work requirements for who are not seriously disabled or raising a child under age six, and impose</w:t>
      </w:r>
      <w:r w:rsidR="008523BB">
        <w:rPr>
          <w:rFonts w:eastAsia="Times New Roman" w:cstheme="minorHAnsi"/>
          <w:color w:val="000000"/>
          <w:sz w:val="21"/>
          <w:szCs w:val="21"/>
        </w:rPr>
        <w:t xml:space="preserve">d </w:t>
      </w:r>
      <w:r w:rsidRPr="00B935BB">
        <w:rPr>
          <w:rFonts w:eastAsia="Times New Roman" w:cstheme="minorHAnsi"/>
          <w:color w:val="000000"/>
          <w:sz w:val="21"/>
          <w:szCs w:val="21"/>
        </w:rPr>
        <w:t>other requirements</w:t>
      </w:r>
      <w:r w:rsidR="00781097">
        <w:rPr>
          <w:rFonts w:eastAsia="Times New Roman" w:cstheme="minorHAnsi"/>
          <w:color w:val="000000"/>
          <w:sz w:val="21"/>
          <w:szCs w:val="21"/>
        </w:rPr>
        <w:t>/restrictions</w:t>
      </w:r>
      <w:r w:rsidRPr="00B935BB">
        <w:rPr>
          <w:rFonts w:eastAsia="Times New Roman" w:cstheme="minorHAnsi"/>
          <w:color w:val="000000"/>
          <w:sz w:val="21"/>
          <w:szCs w:val="21"/>
        </w:rPr>
        <w:t>.</w:t>
      </w:r>
      <w:r w:rsidR="00CC3DC9">
        <w:rPr>
          <w:rFonts w:eastAsia="Times New Roman" w:cstheme="minorHAnsi"/>
          <w:color w:val="000000"/>
          <w:sz w:val="21"/>
          <w:szCs w:val="21"/>
        </w:rPr>
        <w:t xml:space="preserve">  </w:t>
      </w:r>
      <w:r w:rsidR="00CC3DC9" w:rsidRPr="008523BB">
        <w:rPr>
          <w:rFonts w:eastAsia="Times New Roman" w:cstheme="minorHAnsi"/>
          <w:color w:val="000000"/>
          <w:sz w:val="21"/>
          <w:szCs w:val="21"/>
        </w:rPr>
        <w:t xml:space="preserve">The House </w:t>
      </w:r>
      <w:r w:rsidR="008523BB">
        <w:rPr>
          <w:rFonts w:eastAsia="Times New Roman" w:cstheme="minorHAnsi"/>
          <w:color w:val="000000"/>
          <w:sz w:val="21"/>
          <w:szCs w:val="21"/>
        </w:rPr>
        <w:t>added</w:t>
      </w:r>
      <w:r w:rsidR="00CC3DC9" w:rsidRPr="008523BB">
        <w:rPr>
          <w:rFonts w:eastAsia="Times New Roman" w:cstheme="minorHAnsi"/>
          <w:color w:val="000000"/>
          <w:sz w:val="21"/>
          <w:szCs w:val="21"/>
        </w:rPr>
        <w:t xml:space="preserve"> an amendment that, according to the CBPP, </w:t>
      </w:r>
      <w:r w:rsidR="00CE7E1D" w:rsidRPr="008523BB">
        <w:rPr>
          <w:rFonts w:eastAsia="Times New Roman" w:cstheme="minorHAnsi"/>
          <w:color w:val="000000"/>
          <w:sz w:val="21"/>
          <w:szCs w:val="21"/>
        </w:rPr>
        <w:t xml:space="preserve">would expand </w:t>
      </w:r>
      <w:r w:rsidR="00CC3DC9" w:rsidRPr="008523BB">
        <w:rPr>
          <w:rFonts w:eastAsia="Times New Roman" w:cstheme="minorHAnsi"/>
          <w:color w:val="000000"/>
          <w:sz w:val="21"/>
          <w:szCs w:val="21"/>
        </w:rPr>
        <w:t xml:space="preserve">cuts in SNAP and </w:t>
      </w:r>
      <w:r w:rsidR="00CE7E1D" w:rsidRPr="008523BB">
        <w:rPr>
          <w:rFonts w:eastAsia="Times New Roman" w:cstheme="minorHAnsi"/>
          <w:color w:val="000000"/>
          <w:sz w:val="21"/>
          <w:szCs w:val="21"/>
        </w:rPr>
        <w:t>as well as expand</w:t>
      </w:r>
      <w:r w:rsidR="00CC3DC9" w:rsidRPr="008523BB">
        <w:rPr>
          <w:rFonts w:eastAsia="Times New Roman" w:cstheme="minorHAnsi"/>
          <w:color w:val="000000"/>
          <w:sz w:val="21"/>
          <w:szCs w:val="21"/>
        </w:rPr>
        <w:t xml:space="preserve"> work requirements.  While the amendment makes modest improvements by delaying one cut and protecting people with disabilities from another, overall it deepens the SNAP benefit cuts from $17.3 billion to $18.8 billion.</w:t>
      </w:r>
    </w:p>
    <w:p w14:paraId="6D09F50F" w14:textId="77777777" w:rsidR="00113B0A" w:rsidRPr="00113B0A" w:rsidRDefault="00113B0A" w:rsidP="0050625B">
      <w:pPr>
        <w:spacing w:after="0" w:line="240" w:lineRule="auto"/>
        <w:contextualSpacing/>
        <w:rPr>
          <w:rFonts w:eastAsia="Times New Roman" w:cstheme="minorHAnsi"/>
          <w:color w:val="000000"/>
          <w:sz w:val="8"/>
          <w:szCs w:val="8"/>
        </w:rPr>
      </w:pPr>
    </w:p>
    <w:p w14:paraId="6482F1C9" w14:textId="47F96F66" w:rsidR="00722280" w:rsidRPr="00A72B65" w:rsidRDefault="00113B0A" w:rsidP="0095339E">
      <w:pPr>
        <w:spacing w:after="0" w:line="240" w:lineRule="auto"/>
        <w:contextualSpacing/>
        <w:rPr>
          <w:rFonts w:eastAsia="Times New Roman" w:cstheme="minorHAnsi"/>
          <w:color w:val="000000"/>
          <w:sz w:val="21"/>
          <w:szCs w:val="21"/>
        </w:rPr>
      </w:pPr>
      <w:r w:rsidRPr="00113B0A">
        <w:rPr>
          <w:rFonts w:eastAsia="Times New Roman" w:cstheme="minorHAnsi"/>
          <w:b/>
          <w:color w:val="000000"/>
          <w:sz w:val="21"/>
          <w:szCs w:val="21"/>
        </w:rPr>
        <w:t xml:space="preserve">FY 18 Budget:  </w:t>
      </w:r>
      <w:r w:rsidR="0095339E" w:rsidRPr="00A72B65">
        <w:rPr>
          <w:rFonts w:eastAsia="Times New Roman" w:cstheme="minorHAnsi"/>
          <w:color w:val="000000"/>
          <w:sz w:val="21"/>
          <w:szCs w:val="21"/>
        </w:rPr>
        <w:t>Appropriators have negotiated a fin</w:t>
      </w:r>
      <w:r w:rsidR="007C0530" w:rsidRPr="00A72B65">
        <w:rPr>
          <w:rFonts w:eastAsia="Times New Roman" w:cstheme="minorHAnsi"/>
          <w:color w:val="000000"/>
          <w:sz w:val="21"/>
          <w:szCs w:val="21"/>
        </w:rPr>
        <w:t xml:space="preserve">al FY 18 omnibus spending bill; </w:t>
      </w:r>
      <w:r w:rsidR="007C0530" w:rsidRPr="00A72B65">
        <w:rPr>
          <w:rFonts w:eastAsia="Times New Roman" w:cstheme="minorHAnsi"/>
          <w:color w:val="000000"/>
          <w:sz w:val="21"/>
          <w:szCs w:val="21"/>
          <w:u w:val="single"/>
        </w:rPr>
        <w:t xml:space="preserve">the House </w:t>
      </w:r>
      <w:r w:rsidR="00547A45" w:rsidRPr="00A72B65">
        <w:rPr>
          <w:rFonts w:eastAsia="Times New Roman" w:cstheme="minorHAnsi"/>
          <w:color w:val="000000"/>
          <w:sz w:val="21"/>
          <w:szCs w:val="21"/>
          <w:u w:val="single"/>
        </w:rPr>
        <w:t xml:space="preserve">passed the bill on </w:t>
      </w:r>
      <w:r>
        <w:rPr>
          <w:rFonts w:eastAsia="Times New Roman" w:cstheme="minorHAnsi"/>
          <w:color w:val="000000"/>
          <w:sz w:val="21"/>
          <w:szCs w:val="21"/>
          <w:u w:val="single"/>
        </w:rPr>
        <w:t xml:space="preserve">3/22, </w:t>
      </w:r>
      <w:r w:rsidR="007C0530" w:rsidRPr="00A72B65">
        <w:rPr>
          <w:rFonts w:eastAsia="Times New Roman" w:cstheme="minorHAnsi"/>
          <w:color w:val="000000"/>
          <w:sz w:val="21"/>
          <w:szCs w:val="21"/>
          <w:u w:val="single"/>
        </w:rPr>
        <w:t xml:space="preserve">the Senate </w:t>
      </w:r>
      <w:r w:rsidR="00547A45" w:rsidRPr="00A72B65">
        <w:rPr>
          <w:rFonts w:eastAsia="Times New Roman" w:cstheme="minorHAnsi"/>
          <w:color w:val="000000"/>
          <w:sz w:val="21"/>
          <w:szCs w:val="21"/>
          <w:u w:val="single"/>
        </w:rPr>
        <w:t>following suit in the early hours of 3/23</w:t>
      </w:r>
      <w:r>
        <w:rPr>
          <w:rFonts w:eastAsia="Times New Roman" w:cstheme="minorHAnsi"/>
          <w:color w:val="000000"/>
          <w:sz w:val="21"/>
          <w:szCs w:val="21"/>
          <w:u w:val="single"/>
        </w:rPr>
        <w:t>, and the President signed the bill later in the day, avoiding a government shutdown</w:t>
      </w:r>
      <w:r w:rsidR="00547A45" w:rsidRPr="00A72B65">
        <w:rPr>
          <w:rFonts w:eastAsia="Times New Roman" w:cstheme="minorHAnsi"/>
          <w:color w:val="000000"/>
          <w:sz w:val="21"/>
          <w:szCs w:val="21"/>
          <w:u w:val="single"/>
        </w:rPr>
        <w:t>.</w:t>
      </w:r>
      <w:r w:rsidR="00547A45" w:rsidRPr="00A72B65">
        <w:rPr>
          <w:rFonts w:eastAsia="Times New Roman" w:cstheme="minorHAnsi"/>
          <w:color w:val="000000"/>
          <w:sz w:val="21"/>
          <w:szCs w:val="21"/>
        </w:rPr>
        <w:t xml:space="preserve">  </w:t>
      </w:r>
      <w:r w:rsidR="0095339E" w:rsidRPr="00A72B65">
        <w:rPr>
          <w:rFonts w:eastAsia="Times New Roman" w:cstheme="minorHAnsi"/>
          <w:color w:val="000000"/>
          <w:sz w:val="21"/>
          <w:szCs w:val="21"/>
        </w:rPr>
        <w:t>The budget includes a</w:t>
      </w:r>
      <w:r w:rsidR="0095339E" w:rsidRPr="00A72B65">
        <w:rPr>
          <w:rFonts w:eastAsia="Times New Roman" w:cstheme="minorHAnsi"/>
          <w:color w:val="000000"/>
          <w:sz w:val="21"/>
          <w:szCs w:val="21"/>
          <w:u w:val="single"/>
        </w:rPr>
        <w:t xml:space="preserve"> $4.6 billion increase to HUD vs. FY 17</w:t>
      </w:r>
      <w:r w:rsidR="0095339E" w:rsidRPr="00A72B65">
        <w:rPr>
          <w:rFonts w:eastAsia="Times New Roman" w:cstheme="minorHAnsi"/>
          <w:color w:val="000000"/>
          <w:sz w:val="21"/>
          <w:szCs w:val="21"/>
        </w:rPr>
        <w:t xml:space="preserve"> funding (budget amounts reflected in the chart below).</w:t>
      </w:r>
    </w:p>
    <w:p w14:paraId="69F334EF" w14:textId="20BD35A0" w:rsidR="005E061D" w:rsidRPr="00A72B65" w:rsidRDefault="00D53272" w:rsidP="0095339E">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u w:val="single"/>
        </w:rPr>
        <w:t>LIHTC improvements &amp; expansion as part of the omnibus bill</w:t>
      </w:r>
      <w:r w:rsidR="00E30467">
        <w:rPr>
          <w:rFonts w:eastAsia="Times New Roman" w:cstheme="minorHAnsi"/>
          <w:color w:val="000000"/>
          <w:sz w:val="21"/>
          <w:szCs w:val="21"/>
        </w:rPr>
        <w:t xml:space="preserve">:  </w:t>
      </w:r>
      <w:r w:rsidR="0095339E" w:rsidRPr="00A72B65">
        <w:rPr>
          <w:rFonts w:eastAsia="Times New Roman" w:cstheme="minorHAnsi"/>
          <w:color w:val="000000"/>
          <w:sz w:val="21"/>
          <w:szCs w:val="21"/>
        </w:rPr>
        <w:t>Per the NLIHC:  The omnibus includes a 12.5% increase in Low Income Housing Tax Credits for four years and the permanent authorization of income averaging, which could increase the ability of the tax credit to reach the lowest income households.  These changes could help offset the impact of the lowered corporate tax rate from 35% to 21%, which effectively reduces the value of Housing Credits to corporate investors</w:t>
      </w:r>
      <w:r w:rsidRPr="00A72B65">
        <w:rPr>
          <w:rFonts w:eastAsia="Times New Roman" w:cstheme="minorHAnsi"/>
          <w:color w:val="000000"/>
          <w:sz w:val="21"/>
          <w:szCs w:val="21"/>
        </w:rPr>
        <w:t xml:space="preserve">. </w:t>
      </w: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6782C3AB" w:rsidR="00CB1D8B" w:rsidRDefault="00E30467" w:rsidP="00E30467">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HUD Policy Changes (rent increases/work requirements) –</w:t>
      </w:r>
      <w:r w:rsidRPr="00E30467">
        <w:rPr>
          <w:rFonts w:eastAsia="Times New Roman" w:cstheme="minorHAnsi"/>
          <w:color w:val="000000"/>
          <w:sz w:val="21"/>
          <w:szCs w:val="21"/>
        </w:rPr>
        <w:t>T</w:t>
      </w:r>
      <w:r w:rsidR="00D406D2">
        <w:rPr>
          <w:rFonts w:eastAsia="Times New Roman" w:cstheme="minorHAnsi"/>
          <w:color w:val="000000"/>
          <w:sz w:val="21"/>
          <w:szCs w:val="21"/>
        </w:rPr>
        <w:t xml:space="preserve"> </w:t>
      </w:r>
      <w:r w:rsidRPr="00E30467">
        <w:rPr>
          <w:rFonts w:eastAsia="Times New Roman" w:cstheme="minorHAnsi"/>
          <w:color w:val="000000"/>
          <w:sz w:val="21"/>
          <w:szCs w:val="21"/>
        </w:rPr>
        <w:t>he Administration released a legislative proposal on 4/25 that would raise rents on low-income people with HUD rental assistance and allow housing agencies and subsidized owners to impose </w:t>
      </w:r>
      <w:hyperlink r:id="rId8" w:tgtFrame="_blank" w:history="1">
        <w:r w:rsidRPr="00E30467">
          <w:rPr>
            <w:rStyle w:val="Hyperlink"/>
            <w:rFonts w:eastAsia="Times New Roman" w:cstheme="minorHAnsi"/>
            <w:sz w:val="21"/>
            <w:szCs w:val="21"/>
          </w:rPr>
          <w:t>work requirements</w:t>
        </w:r>
      </w:hyperlink>
      <w:r w:rsidRPr="00E30467">
        <w:rPr>
          <w:rFonts w:eastAsia="Times New Roman" w:cstheme="minorHAnsi"/>
          <w:color w:val="000000"/>
          <w:sz w:val="21"/>
          <w:szCs w:val="21"/>
        </w:rPr>
        <w:t xml:space="preserve">.  </w:t>
      </w:r>
      <w:r>
        <w:rPr>
          <w:rFonts w:eastAsia="Times New Roman" w:cstheme="minorHAnsi"/>
          <w:color w:val="000000"/>
          <w:sz w:val="21"/>
          <w:szCs w:val="21"/>
        </w:rPr>
        <w:t xml:space="preserve">According to the CBPP, </w:t>
      </w:r>
      <w:r w:rsidRPr="00E30467">
        <w:rPr>
          <w:rFonts w:eastAsia="Times New Roman" w:cstheme="minorHAnsi"/>
          <w:color w:val="000000"/>
          <w:sz w:val="21"/>
          <w:szCs w:val="21"/>
        </w:rPr>
        <w:t xml:space="preserve">the rent increases will ultimately total $3.2 billion a year.  Working families, the elderly, and people with disabilities would pay more than </w:t>
      </w:r>
      <w:r>
        <w:rPr>
          <w:rFonts w:eastAsia="Times New Roman" w:cstheme="minorHAnsi"/>
          <w:color w:val="000000"/>
          <w:sz w:val="21"/>
          <w:szCs w:val="21"/>
        </w:rPr>
        <w:t>3/4s</w:t>
      </w:r>
      <w:r w:rsidRPr="00E30467">
        <w:rPr>
          <w:rFonts w:eastAsia="Times New Roman" w:cstheme="minorHAnsi"/>
          <w:color w:val="000000"/>
          <w:sz w:val="21"/>
          <w:szCs w:val="21"/>
        </w:rPr>
        <w:t xml:space="preserve"> of that increase.</w:t>
      </w:r>
      <w:r w:rsidRPr="00E30467">
        <w:rPr>
          <w:rFonts w:eastAsia="Times New Roman" w:cstheme="minorHAnsi"/>
          <w:color w:val="000000"/>
          <w:sz w:val="21"/>
          <w:szCs w:val="21"/>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E30467">
        <w:rPr>
          <w:rFonts w:eastAsia="Times New Roman" w:cstheme="minorHAnsi"/>
          <w:color w:val="000000"/>
          <w:sz w:val="21"/>
          <w:szCs w:val="21"/>
        </w:rPr>
        <w:t xml:space="preserve">The proposal would raise rents in three main ways: </w:t>
      </w:r>
      <w:r>
        <w:rPr>
          <w:rFonts w:eastAsia="Times New Roman" w:cstheme="minorHAnsi"/>
          <w:color w:val="000000"/>
          <w:sz w:val="21"/>
          <w:szCs w:val="21"/>
        </w:rPr>
        <w:t xml:space="preserve">1) </w:t>
      </w:r>
      <w:r w:rsidR="00CB1D8B">
        <w:rPr>
          <w:rFonts w:eastAsia="Times New Roman" w:cstheme="minorHAnsi"/>
          <w:color w:val="000000"/>
          <w:sz w:val="21"/>
          <w:szCs w:val="21"/>
        </w:rPr>
        <w:t xml:space="preserve">Tripling the </w:t>
      </w:r>
      <w:r w:rsidRPr="00E30467">
        <w:rPr>
          <w:rFonts w:eastAsia="Times New Roman" w:cstheme="minorHAnsi"/>
          <w:color w:val="000000"/>
          <w:sz w:val="21"/>
          <w:szCs w:val="21"/>
        </w:rPr>
        <w:t xml:space="preserve">minimum rents </w:t>
      </w:r>
      <w:r w:rsidR="00CB1D8B">
        <w:rPr>
          <w:rFonts w:eastAsia="Times New Roman" w:cstheme="minorHAnsi"/>
          <w:color w:val="000000"/>
          <w:sz w:val="21"/>
          <w:szCs w:val="21"/>
        </w:rPr>
        <w:t xml:space="preserve">(from $50 to $150), affecting </w:t>
      </w:r>
      <w:r w:rsidRPr="00E30467">
        <w:rPr>
          <w:rFonts w:eastAsia="Times New Roman" w:cstheme="minorHAnsi"/>
          <w:color w:val="000000"/>
          <w:sz w:val="21"/>
          <w:szCs w:val="21"/>
        </w:rPr>
        <w:t>the poore</w:t>
      </w:r>
      <w:r>
        <w:rPr>
          <w:rFonts w:eastAsia="Times New Roman" w:cstheme="minorHAnsi"/>
          <w:color w:val="000000"/>
          <w:sz w:val="21"/>
          <w:szCs w:val="21"/>
        </w:rPr>
        <w:t>st rental assistance recipients; 2)</w:t>
      </w:r>
      <w:r w:rsidRPr="00E30467">
        <w:rPr>
          <w:rFonts w:eastAsia="Times New Roman" w:cstheme="minorHAnsi"/>
          <w:color w:val="000000"/>
          <w:sz w:val="21"/>
          <w:szCs w:val="21"/>
        </w:rPr>
        <w:t xml:space="preserve"> charging households with adults who aren’t elderly or disabled 35</w:t>
      </w:r>
      <w:r w:rsidR="00CB1D8B">
        <w:rPr>
          <w:rFonts w:eastAsia="Times New Roman" w:cstheme="minorHAnsi"/>
          <w:color w:val="000000"/>
          <w:sz w:val="21"/>
          <w:szCs w:val="21"/>
        </w:rPr>
        <w:t>%</w:t>
      </w:r>
      <w:r w:rsidRPr="00E30467">
        <w:rPr>
          <w:rFonts w:eastAsia="Times New Roman" w:cstheme="minorHAnsi"/>
          <w:color w:val="000000"/>
          <w:sz w:val="21"/>
          <w:szCs w:val="21"/>
        </w:rPr>
        <w:t xml:space="preserve"> of their income for rent instead of 30</w:t>
      </w:r>
      <w:r w:rsidR="00CB1D8B">
        <w:rPr>
          <w:rFonts w:eastAsia="Times New Roman" w:cstheme="minorHAnsi"/>
          <w:color w:val="000000"/>
          <w:sz w:val="21"/>
          <w:szCs w:val="21"/>
        </w:rPr>
        <w:t>%</w:t>
      </w:r>
      <w:r>
        <w:rPr>
          <w:rFonts w:eastAsia="Times New Roman" w:cstheme="minorHAnsi"/>
          <w:color w:val="000000"/>
          <w:sz w:val="21"/>
          <w:szCs w:val="21"/>
        </w:rPr>
        <w:t xml:space="preserve">; and 3) </w:t>
      </w:r>
      <w:r w:rsidRPr="00E30467">
        <w:rPr>
          <w:rFonts w:eastAsia="Times New Roman" w:cstheme="minorHAnsi"/>
          <w:color w:val="000000"/>
          <w:sz w:val="21"/>
          <w:szCs w:val="21"/>
        </w:rPr>
        <w:t>eliminating deductions such as those for child care and high out-of-pocket medical expenses.</w:t>
      </w:r>
      <w:r w:rsidR="00CB1D8B">
        <w:rPr>
          <w:rFonts w:eastAsia="Times New Roman" w:cstheme="minorHAnsi"/>
          <w:color w:val="000000"/>
          <w:sz w:val="21"/>
          <w:szCs w:val="21"/>
        </w:rPr>
        <w:t xml:space="preserve">  Per the NLIHC, the legislation would also allow</w:t>
      </w:r>
      <w:r w:rsidR="00CB1D8B" w:rsidRPr="00CB1D8B">
        <w:rPr>
          <w:rFonts w:eastAsia="Times New Roman" w:cstheme="minorHAnsi"/>
          <w:color w:val="000000"/>
          <w:sz w:val="21"/>
          <w:szCs w:val="21"/>
        </w:rPr>
        <w:t xml:space="preserve">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EDE4E7A" w14:textId="6493DD8A" w:rsidR="00E45B9B" w:rsidRDefault="00AF7266" w:rsidP="00EC31A7">
      <w:pPr>
        <w:tabs>
          <w:tab w:val="left" w:pos="7082"/>
        </w:tabs>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House FY</w:t>
      </w:r>
      <w:r w:rsidR="00EC31A7">
        <w:rPr>
          <w:rFonts w:eastAsia="Times New Roman" w:cstheme="minorHAnsi"/>
          <w:b/>
          <w:color w:val="000000"/>
          <w:sz w:val="21"/>
          <w:szCs w:val="21"/>
        </w:rPr>
        <w:t>19 THUD</w:t>
      </w:r>
      <w:r>
        <w:rPr>
          <w:rFonts w:eastAsia="Times New Roman" w:cstheme="minorHAnsi"/>
          <w:b/>
          <w:color w:val="000000"/>
          <w:sz w:val="21"/>
          <w:szCs w:val="21"/>
        </w:rPr>
        <w:t xml:space="preserve"> Appropriations</w:t>
      </w:r>
      <w:r w:rsidR="00EC31A7">
        <w:rPr>
          <w:rFonts w:eastAsia="Times New Roman" w:cstheme="minorHAnsi"/>
          <w:b/>
          <w:color w:val="000000"/>
          <w:sz w:val="21"/>
          <w:szCs w:val="21"/>
        </w:rPr>
        <w:t xml:space="preserve"> bill – </w:t>
      </w:r>
      <w:r w:rsidR="00DE69A1" w:rsidRPr="00DE69A1">
        <w:rPr>
          <w:rFonts w:eastAsia="Times New Roman" w:cstheme="minorHAnsi"/>
          <w:b/>
          <w:i/>
          <w:color w:val="000000"/>
          <w:sz w:val="21"/>
          <w:szCs w:val="21"/>
          <w:highlight w:val="yellow"/>
          <w:u w:val="single"/>
        </w:rPr>
        <w:t>Update</w:t>
      </w:r>
      <w:r w:rsidR="00EC31A7" w:rsidRPr="00E45B9B">
        <w:rPr>
          <w:rFonts w:eastAsia="Times New Roman" w:cstheme="minorHAnsi"/>
          <w:b/>
          <w:i/>
          <w:color w:val="000000"/>
          <w:sz w:val="21"/>
          <w:szCs w:val="21"/>
          <w:u w:val="single"/>
        </w:rPr>
        <w:t xml:space="preserve"> </w:t>
      </w:r>
      <w:r w:rsidR="00EC31A7">
        <w:rPr>
          <w:rFonts w:eastAsia="Times New Roman" w:cstheme="minorHAnsi"/>
          <w:b/>
          <w:color w:val="000000"/>
          <w:sz w:val="21"/>
          <w:szCs w:val="21"/>
        </w:rPr>
        <w:t xml:space="preserve">– </w:t>
      </w:r>
      <w:r w:rsidR="00EC31A7" w:rsidRPr="00EC31A7">
        <w:rPr>
          <w:rFonts w:eastAsia="Times New Roman" w:cstheme="minorHAnsi"/>
          <w:color w:val="000000"/>
          <w:sz w:val="21"/>
          <w:szCs w:val="21"/>
        </w:rPr>
        <w:t xml:space="preserve">The House </w:t>
      </w:r>
      <w:r w:rsidR="00EC31A7">
        <w:rPr>
          <w:rFonts w:eastAsia="Times New Roman" w:cstheme="minorHAnsi"/>
          <w:color w:val="000000"/>
          <w:sz w:val="21"/>
          <w:szCs w:val="21"/>
        </w:rPr>
        <w:t>THUD Appropriations Committee released the first draft of its FY 19 spending bill</w:t>
      </w:r>
      <w:r w:rsidR="00E45B9B">
        <w:rPr>
          <w:rFonts w:eastAsia="Times New Roman" w:cstheme="minorHAnsi"/>
          <w:color w:val="000000"/>
          <w:sz w:val="21"/>
          <w:szCs w:val="21"/>
        </w:rPr>
        <w:t xml:space="preserve">, which according to the NLIHC, </w:t>
      </w:r>
      <w:r w:rsidR="00E45B9B" w:rsidRPr="00E45B9B">
        <w:rPr>
          <w:rFonts w:eastAsia="Times New Roman" w:cstheme="minorHAnsi"/>
          <w:color w:val="000000"/>
          <w:sz w:val="21"/>
          <w:szCs w:val="21"/>
        </w:rPr>
        <w:t xml:space="preserve">provides significant funding to housing programs that serve low income people and communities. </w:t>
      </w:r>
      <w:r w:rsidR="00E45B9B">
        <w:rPr>
          <w:rFonts w:eastAsia="Times New Roman" w:cstheme="minorHAnsi"/>
          <w:color w:val="000000"/>
          <w:sz w:val="21"/>
          <w:szCs w:val="21"/>
        </w:rPr>
        <w:t xml:space="preserve"> </w:t>
      </w:r>
      <w:r w:rsidR="00785C29">
        <w:rPr>
          <w:rFonts w:eastAsia="Times New Roman" w:cstheme="minorHAnsi"/>
          <w:color w:val="000000"/>
          <w:sz w:val="21"/>
          <w:szCs w:val="21"/>
        </w:rPr>
        <w:t xml:space="preserve">According to the CBPP, </w:t>
      </w:r>
      <w:r w:rsidR="00785C29" w:rsidRPr="00785C29">
        <w:rPr>
          <w:rFonts w:eastAsia="Times New Roman" w:cstheme="minorHAnsi"/>
          <w:color w:val="000000"/>
          <w:sz w:val="21"/>
          <w:szCs w:val="21"/>
        </w:rPr>
        <w:t xml:space="preserve">the bill doesn’t fully fund the renewal of housing vouchers and other rental assistance now in use.  </w:t>
      </w:r>
      <w:r w:rsidR="00785C29">
        <w:rPr>
          <w:rFonts w:eastAsia="Times New Roman" w:cstheme="minorHAnsi"/>
          <w:color w:val="000000"/>
          <w:sz w:val="21"/>
          <w:szCs w:val="21"/>
        </w:rPr>
        <w:t>The CBPP approximates that these renewal shortfalls</w:t>
      </w:r>
      <w:r w:rsidR="00785C29" w:rsidRPr="00785C29">
        <w:rPr>
          <w:rFonts w:eastAsia="Times New Roman" w:cstheme="minorHAnsi"/>
          <w:color w:val="000000"/>
          <w:sz w:val="21"/>
          <w:szCs w:val="21"/>
        </w:rPr>
        <w:t xml:space="preserve"> would leave nearly 50,000 housing vouchers that seniors, families, and others are currently using without renewal funds in 2019</w:t>
      </w:r>
      <w:r w:rsidR="00785C29">
        <w:rPr>
          <w:rFonts w:eastAsia="Times New Roman" w:cstheme="minorHAnsi"/>
          <w:color w:val="000000"/>
          <w:sz w:val="21"/>
          <w:szCs w:val="21"/>
        </w:rPr>
        <w:t xml:space="preserve">.  </w:t>
      </w:r>
      <w:r w:rsidR="00E45B9B" w:rsidRPr="00E45B9B">
        <w:rPr>
          <w:rFonts w:eastAsia="Times New Roman" w:cstheme="minorHAnsi"/>
          <w:color w:val="000000"/>
          <w:sz w:val="21"/>
          <w:szCs w:val="21"/>
        </w:rPr>
        <w:t xml:space="preserve">The subcommittee </w:t>
      </w:r>
      <w:r w:rsidR="00E45B9B">
        <w:rPr>
          <w:rFonts w:eastAsia="Times New Roman" w:cstheme="minorHAnsi"/>
          <w:color w:val="000000"/>
          <w:sz w:val="21"/>
          <w:szCs w:val="21"/>
        </w:rPr>
        <w:t xml:space="preserve">first took </w:t>
      </w:r>
      <w:r w:rsidR="00D406D2">
        <w:rPr>
          <w:rFonts w:eastAsia="Times New Roman" w:cstheme="minorHAnsi"/>
          <w:color w:val="000000"/>
          <w:sz w:val="21"/>
          <w:szCs w:val="21"/>
        </w:rPr>
        <w:t>up the bill May 16</w:t>
      </w:r>
      <w:r w:rsidR="00DE69A1">
        <w:rPr>
          <w:rFonts w:eastAsia="Times New Roman" w:cstheme="minorHAnsi"/>
          <w:color w:val="000000"/>
          <w:sz w:val="21"/>
          <w:szCs w:val="21"/>
        </w:rPr>
        <w:t xml:space="preserve">; </w:t>
      </w:r>
      <w:r w:rsidR="00D406D2">
        <w:rPr>
          <w:rFonts w:eastAsia="Times New Roman" w:cstheme="minorHAnsi"/>
          <w:color w:val="000000"/>
          <w:sz w:val="21"/>
          <w:szCs w:val="21"/>
        </w:rPr>
        <w:t>the</w:t>
      </w:r>
      <w:r w:rsidR="00E45B9B" w:rsidRPr="00E45B9B">
        <w:rPr>
          <w:rFonts w:eastAsia="Times New Roman" w:cstheme="minorHAnsi"/>
          <w:color w:val="000000"/>
          <w:sz w:val="21"/>
          <w:szCs w:val="21"/>
        </w:rPr>
        <w:t xml:space="preserve"> full Committee </w:t>
      </w:r>
      <w:r w:rsidR="00DE69A1">
        <w:rPr>
          <w:rFonts w:eastAsia="Times New Roman" w:cstheme="minorHAnsi"/>
          <w:color w:val="000000"/>
          <w:sz w:val="21"/>
          <w:szCs w:val="21"/>
        </w:rPr>
        <w:t xml:space="preserve">moved the bill forward on 5/23.  It now goes to the full House for consideration.  </w:t>
      </w:r>
      <w:r w:rsidR="00D406D2">
        <w:rPr>
          <w:rFonts w:eastAsia="Times New Roman" w:cstheme="minorHAnsi"/>
          <w:color w:val="000000"/>
          <w:sz w:val="21"/>
          <w:szCs w:val="21"/>
        </w:rPr>
        <w:t>T</w:t>
      </w:r>
      <w:r w:rsidR="00E45B9B">
        <w:rPr>
          <w:rFonts w:eastAsia="Times New Roman" w:cstheme="minorHAnsi"/>
          <w:color w:val="000000"/>
          <w:sz w:val="21"/>
          <w:szCs w:val="21"/>
        </w:rPr>
        <w:t>he bill:</w:t>
      </w:r>
    </w:p>
    <w:p w14:paraId="03B72935"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M</w:t>
      </w:r>
      <w:r w:rsidRPr="00E45B9B">
        <w:rPr>
          <w:rFonts w:eastAsia="Times New Roman" w:cstheme="minorHAnsi"/>
          <w:color w:val="000000"/>
          <w:sz w:val="21"/>
          <w:szCs w:val="21"/>
        </w:rPr>
        <w:t>aintains the 10% increase in HUD funding that advocates and Congressional champions secured in FY18 with modest additional increases for FY19</w:t>
      </w:r>
      <w:r>
        <w:rPr>
          <w:rFonts w:eastAsia="Times New Roman" w:cstheme="minorHAnsi"/>
          <w:color w:val="000000"/>
          <w:sz w:val="21"/>
          <w:szCs w:val="21"/>
        </w:rPr>
        <w:t>;</w:t>
      </w:r>
    </w:p>
    <w:p w14:paraId="4897F160"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C</w:t>
      </w:r>
      <w:r w:rsidRPr="00E45B9B">
        <w:rPr>
          <w:rFonts w:eastAsia="Times New Roman" w:cstheme="minorHAnsi"/>
          <w:color w:val="000000"/>
          <w:sz w:val="21"/>
          <w:szCs w:val="21"/>
        </w:rPr>
        <w:t xml:space="preserve">learly rejects the president’s call to drastically cut housing investments. </w:t>
      </w:r>
    </w:p>
    <w:p w14:paraId="7A197E82" w14:textId="56CB7CD4"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Pr</w:t>
      </w:r>
      <w:r w:rsidRPr="00E45B9B">
        <w:rPr>
          <w:rFonts w:eastAsia="Times New Roman" w:cstheme="minorHAnsi"/>
          <w:color w:val="000000"/>
          <w:sz w:val="21"/>
          <w:szCs w:val="21"/>
        </w:rPr>
        <w:t xml:space="preserve">ovides HUD programs with more than $11 billion above the president’s FY19 request. </w:t>
      </w:r>
    </w:p>
    <w:p w14:paraId="4369C2B6" w14:textId="4D13675A" w:rsidR="00EC31A7"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R</w:t>
      </w:r>
      <w:r w:rsidRPr="00E45B9B">
        <w:rPr>
          <w:rFonts w:eastAsia="Times New Roman" w:cstheme="minorHAnsi"/>
          <w:color w:val="000000"/>
          <w:sz w:val="21"/>
          <w:szCs w:val="21"/>
        </w:rPr>
        <w:t>ejects the rent increases, work requirements, and de facto time limits proposed by the president in his FY19 budget request and in subsequent legislation.</w:t>
      </w:r>
    </w:p>
    <w:p w14:paraId="6AA543BE" w14:textId="12591084" w:rsidR="00E45B9B" w:rsidRDefault="00E45B9B" w:rsidP="00E45B9B">
      <w:pPr>
        <w:tabs>
          <w:tab w:val="left" w:pos="7082"/>
        </w:tabs>
        <w:spacing w:after="0" w:line="240" w:lineRule="auto"/>
        <w:rPr>
          <w:rFonts w:eastAsia="Times New Roman" w:cstheme="minorHAnsi"/>
          <w:color w:val="000000"/>
          <w:sz w:val="21"/>
          <w:szCs w:val="21"/>
        </w:rPr>
      </w:pPr>
      <w:r>
        <w:rPr>
          <w:rFonts w:eastAsia="Times New Roman" w:cstheme="minorHAnsi"/>
          <w:color w:val="000000"/>
          <w:sz w:val="21"/>
          <w:szCs w:val="21"/>
        </w:rPr>
        <w:t xml:space="preserve">The </w:t>
      </w:r>
      <w:r w:rsidRPr="00E45B9B">
        <w:rPr>
          <w:rFonts w:eastAsia="Times New Roman" w:cstheme="minorHAnsi"/>
          <w:color w:val="000000"/>
          <w:sz w:val="21"/>
          <w:szCs w:val="21"/>
        </w:rPr>
        <w:t>House subcommittee bill provides increased or level funding to most programs</w:t>
      </w:r>
      <w:r>
        <w:rPr>
          <w:rFonts w:eastAsia="Times New Roman" w:cstheme="minorHAnsi"/>
          <w:color w:val="000000"/>
          <w:sz w:val="21"/>
          <w:szCs w:val="21"/>
        </w:rPr>
        <w:t>, with the exception of HCV and PBS8:</w:t>
      </w:r>
    </w:p>
    <w:p w14:paraId="1A3B9F54" w14:textId="451F3C00"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Housing Choice Vouchers:  $20.1 billion (not predicted to be sufficient to renew all existing contracts)</w:t>
      </w:r>
    </w:p>
    <w:p w14:paraId="5A4DB19A" w14:textId="7F86E908" w:rsidR="00E45B9B" w:rsidRPr="00E45B9B"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Project-Based Section 8:  $11.35 billion (not predicted to be sufficient to renew all existing contracts)</w:t>
      </w:r>
    </w:p>
    <w:p w14:paraId="5E1778A3" w14:textId="7448719E"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HOPWA:  </w:t>
      </w:r>
      <w:r w:rsidRPr="00E45B9B">
        <w:rPr>
          <w:rFonts w:eastAsia="Times New Roman" w:cstheme="minorHAnsi"/>
          <w:color w:val="000000"/>
          <w:sz w:val="21"/>
          <w:szCs w:val="21"/>
        </w:rPr>
        <w:t>$393 million</w:t>
      </w:r>
      <w:r>
        <w:rPr>
          <w:rFonts w:eastAsia="Times New Roman" w:cstheme="minorHAnsi"/>
          <w:color w:val="000000"/>
          <w:sz w:val="21"/>
          <w:szCs w:val="21"/>
        </w:rPr>
        <w:t xml:space="preserve"> (modest increase)</w:t>
      </w:r>
    </w:p>
    <w:p w14:paraId="05CDD9C2"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 xml:space="preserve">Homeless Assistance </w:t>
      </w:r>
      <w:r>
        <w:rPr>
          <w:rFonts w:eastAsia="Times New Roman" w:cstheme="minorHAnsi"/>
          <w:color w:val="000000"/>
          <w:sz w:val="21"/>
          <w:szCs w:val="21"/>
        </w:rPr>
        <w:t xml:space="preserve">Grants:  $3.55 billion (modest increase) </w:t>
      </w:r>
    </w:p>
    <w:p w14:paraId="0E6F3EE1" w14:textId="15003E4B"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Public hou</w:t>
      </w:r>
      <w:r>
        <w:rPr>
          <w:rFonts w:eastAsia="Times New Roman" w:cstheme="minorHAnsi"/>
          <w:color w:val="000000"/>
          <w:sz w:val="21"/>
          <w:szCs w:val="21"/>
        </w:rPr>
        <w:t xml:space="preserve">sing:  </w:t>
      </w:r>
      <w:r w:rsidRPr="00E45B9B">
        <w:rPr>
          <w:rFonts w:eastAsia="Times New Roman" w:cstheme="minorHAnsi"/>
          <w:color w:val="000000"/>
          <w:sz w:val="21"/>
          <w:szCs w:val="21"/>
        </w:rPr>
        <w:t>$2.8 billion for capital repairs and $4.6 billion for operating</w:t>
      </w:r>
      <w:r>
        <w:rPr>
          <w:rFonts w:eastAsia="Times New Roman" w:cstheme="minorHAnsi"/>
          <w:color w:val="000000"/>
          <w:sz w:val="21"/>
          <w:szCs w:val="21"/>
        </w:rPr>
        <w:t xml:space="preserve"> (</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083CF7AF" w14:textId="6CBF30E5"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Choice Neig</w:t>
      </w:r>
      <w:r>
        <w:rPr>
          <w:rFonts w:eastAsia="Times New Roman" w:cstheme="minorHAnsi"/>
          <w:color w:val="000000"/>
          <w:sz w:val="21"/>
          <w:szCs w:val="21"/>
        </w:rPr>
        <w:t xml:space="preserve">hborhoods:  </w:t>
      </w:r>
      <w:r w:rsidRPr="00E45B9B">
        <w:rPr>
          <w:rFonts w:eastAsia="Times New Roman" w:cstheme="minorHAnsi"/>
          <w:color w:val="000000"/>
          <w:sz w:val="21"/>
          <w:szCs w:val="21"/>
        </w:rPr>
        <w:t>$1</w:t>
      </w:r>
      <w:r>
        <w:rPr>
          <w:rFonts w:eastAsia="Times New Roman" w:cstheme="minorHAnsi"/>
          <w:color w:val="000000"/>
          <w:sz w:val="21"/>
          <w:szCs w:val="21"/>
        </w:rPr>
        <w:t>50 million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474847F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CDBG:  $3.37 billion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r w:rsidRPr="00E45B9B">
        <w:rPr>
          <w:rFonts w:eastAsia="Times New Roman" w:cstheme="minorHAnsi"/>
          <w:color w:val="000000"/>
          <w:sz w:val="21"/>
          <w:szCs w:val="21"/>
        </w:rPr>
        <w:t xml:space="preserve"> </w:t>
      </w:r>
    </w:p>
    <w:p w14:paraId="2D497414" w14:textId="362F38D1"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202 Housing for the</w:t>
      </w:r>
      <w:r>
        <w:rPr>
          <w:rFonts w:eastAsia="Times New Roman" w:cstheme="minorHAnsi"/>
          <w:color w:val="000000"/>
          <w:sz w:val="21"/>
          <w:szCs w:val="21"/>
        </w:rPr>
        <w:t xml:space="preserve"> Elderly: $632 million (sufficient to renew existing contracts)</w:t>
      </w:r>
    </w:p>
    <w:p w14:paraId="20B428F8"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811 Housin</w:t>
      </w:r>
      <w:r>
        <w:rPr>
          <w:rFonts w:eastAsia="Times New Roman" w:cstheme="minorHAnsi"/>
          <w:color w:val="000000"/>
          <w:sz w:val="21"/>
          <w:szCs w:val="21"/>
        </w:rPr>
        <w:t xml:space="preserve">g for People with Disabilities:  $154 million </w:t>
      </w:r>
    </w:p>
    <w:p w14:paraId="41A80F21" w14:textId="18619BFF" w:rsidR="00E45B9B"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HOME:  $1.2 billion (decrease from FY 18, an increase from previous years’ funding)</w:t>
      </w:r>
      <w:r>
        <w:rPr>
          <w:rFonts w:eastAsia="Times New Roman" w:cstheme="minorHAnsi"/>
          <w:color w:val="000000"/>
          <w:sz w:val="21"/>
          <w:szCs w:val="21"/>
        </w:rPr>
        <w:t xml:space="preserve">.  </w:t>
      </w:r>
    </w:p>
    <w:p w14:paraId="2BB9952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$50 million in new resources </w:t>
      </w:r>
      <w:r w:rsidRPr="00E45B9B">
        <w:rPr>
          <w:rFonts w:eastAsia="Times New Roman" w:cstheme="minorHAnsi"/>
          <w:color w:val="000000"/>
          <w:sz w:val="21"/>
          <w:szCs w:val="21"/>
        </w:rPr>
        <w:t>for a mobility-voucher demonstration for families with young children to help the</w:t>
      </w:r>
      <w:r>
        <w:rPr>
          <w:rFonts w:eastAsia="Times New Roman" w:cstheme="minorHAnsi"/>
          <w:color w:val="000000"/>
          <w:sz w:val="21"/>
          <w:szCs w:val="21"/>
        </w:rPr>
        <w:t>m move to areas of opportunity</w:t>
      </w:r>
    </w:p>
    <w:p w14:paraId="595871AB" w14:textId="1010EC5D" w:rsidR="00E45B9B" w:rsidRP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lastRenderedPageBreak/>
        <w:t>$100 million in competitive grants to Native American communities to spur construction and preservation of affordable rental housing.</w:t>
      </w:r>
    </w:p>
    <w:p w14:paraId="31779AA2" w14:textId="69AB3809" w:rsidR="00AF7266" w:rsidRDefault="00AF7266" w:rsidP="001C68DB">
      <w:pPr>
        <w:spacing w:after="0" w:line="240" w:lineRule="auto"/>
        <w:contextualSpacing/>
        <w:rPr>
          <w:rFonts w:eastAsia="Times New Roman" w:cstheme="minorHAnsi"/>
          <w:b/>
          <w:color w:val="000000"/>
          <w:sz w:val="21"/>
          <w:szCs w:val="21"/>
        </w:rPr>
      </w:pPr>
      <w:r>
        <w:rPr>
          <w:rFonts w:eastAsia="Times New Roman" w:cstheme="minorHAnsi"/>
          <w:b/>
          <w:color w:val="000000"/>
          <w:sz w:val="21"/>
          <w:szCs w:val="21"/>
        </w:rPr>
        <w:t xml:space="preserve">Senate FY19 THUD Appropriations bill – </w:t>
      </w:r>
      <w:r w:rsidR="00D406D2">
        <w:rPr>
          <w:rFonts w:eastAsia="Times New Roman" w:cstheme="minorHAnsi"/>
          <w:b/>
          <w:i/>
          <w:color w:val="000000"/>
          <w:sz w:val="21"/>
          <w:szCs w:val="21"/>
          <w:highlight w:val="yellow"/>
          <w:u w:val="single"/>
        </w:rPr>
        <w:t>Update</w:t>
      </w:r>
      <w:r>
        <w:rPr>
          <w:rFonts w:eastAsia="Times New Roman" w:cstheme="minorHAnsi"/>
          <w:b/>
          <w:color w:val="000000"/>
          <w:sz w:val="21"/>
          <w:szCs w:val="21"/>
        </w:rPr>
        <w:t xml:space="preserve"> – </w:t>
      </w:r>
      <w:r w:rsidR="00D406D2" w:rsidRPr="00D406D2">
        <w:rPr>
          <w:rFonts w:eastAsia="Times New Roman" w:cstheme="minorHAnsi"/>
          <w:color w:val="000000"/>
          <w:sz w:val="21"/>
          <w:szCs w:val="21"/>
        </w:rPr>
        <w:t xml:space="preserve">The Senate Committee on Appropriations released its markup schedule for FY19 appropriations bills. The committee is scheduled to hold a vote on the </w:t>
      </w:r>
      <w:r w:rsidR="00D406D2">
        <w:rPr>
          <w:rFonts w:eastAsia="Times New Roman" w:cstheme="minorHAnsi"/>
          <w:color w:val="000000"/>
          <w:sz w:val="21"/>
          <w:szCs w:val="21"/>
        </w:rPr>
        <w:t>T</w:t>
      </w:r>
      <w:r w:rsidR="00D406D2" w:rsidRPr="00D406D2">
        <w:rPr>
          <w:rFonts w:eastAsia="Times New Roman" w:cstheme="minorHAnsi"/>
          <w:color w:val="000000"/>
          <w:sz w:val="21"/>
          <w:szCs w:val="21"/>
        </w:rPr>
        <w:t>HUD spending bill during the week of June 4-8</w:t>
      </w:r>
      <w:r w:rsidRPr="00AF7266">
        <w:rPr>
          <w:rFonts w:eastAsia="Times New Roman" w:cstheme="minorHAnsi"/>
          <w:color w:val="000000"/>
          <w:sz w:val="21"/>
          <w:szCs w:val="21"/>
        </w:rPr>
        <w:t>.</w:t>
      </w:r>
    </w:p>
    <w:p w14:paraId="4B098E8C" w14:textId="0A81D290" w:rsidR="001C68DB" w:rsidRPr="001200D7" w:rsidRDefault="00C274FF" w:rsidP="001C68DB">
      <w:pPr>
        <w:spacing w:after="0" w:line="240" w:lineRule="auto"/>
        <w:contextualSpacing/>
        <w:rPr>
          <w:rFonts w:eastAsia="Times New Roman" w:cstheme="minorHAnsi"/>
          <w:color w:val="000000"/>
          <w:sz w:val="20"/>
          <w:szCs w:val="20"/>
        </w:rPr>
      </w:pPr>
      <w:r w:rsidRPr="00A72B65">
        <w:rPr>
          <w:rFonts w:eastAsia="Times New Roman" w:cstheme="minorHAnsi"/>
          <w:b/>
          <w:color w:val="000000"/>
          <w:sz w:val="21"/>
          <w:szCs w:val="21"/>
        </w:rPr>
        <w:t xml:space="preserve">President Trump’s </w:t>
      </w:r>
      <w:r w:rsidR="00CC0542" w:rsidRPr="00A72B65">
        <w:rPr>
          <w:rFonts w:eastAsia="Times New Roman" w:cstheme="minorHAnsi"/>
          <w:b/>
          <w:color w:val="000000"/>
          <w:sz w:val="21"/>
          <w:szCs w:val="21"/>
        </w:rPr>
        <w:t xml:space="preserve">FY 19 Budget </w:t>
      </w:r>
      <w:r w:rsidR="00216786" w:rsidRPr="00A72B65">
        <w:rPr>
          <w:rFonts w:eastAsia="Times New Roman" w:cstheme="minorHAnsi"/>
          <w:b/>
          <w:color w:val="000000"/>
          <w:sz w:val="21"/>
          <w:szCs w:val="21"/>
        </w:rPr>
        <w:t xml:space="preserve">–  </w:t>
      </w:r>
      <w:r w:rsidR="001C68DB" w:rsidRPr="00A72B65">
        <w:rPr>
          <w:rFonts w:eastAsia="Times New Roman" w:cstheme="minorHAnsi"/>
          <w:color w:val="000000"/>
          <w:sz w:val="21"/>
          <w:szCs w:val="21"/>
        </w:rPr>
        <w:t xml:space="preserve">President Trump unveiled his FY 19 budget request on 2/12. The budget would cut HUD by an astounding $8.8 billion or 18.3% compared to the 2017 enacted levels.  In an addendum stemming from the bipartisan budget agreement, the President suggests that $2 billion above his request could be added back in for a final proposed cut of $6.8 billion.  </w:t>
      </w:r>
      <w:r w:rsidR="001C68DB" w:rsidRPr="00A72B65">
        <w:rPr>
          <w:rFonts w:eastAsia="Times New Roman" w:cstheme="minorHAnsi"/>
          <w:color w:val="000000"/>
          <w:sz w:val="21"/>
          <w:szCs w:val="21"/>
          <w:u w:val="single"/>
        </w:rPr>
        <w:t>Such a reduction could lead to at least 200,000 housing vouchers being lost</w:t>
      </w:r>
      <w:r w:rsidR="001C68DB" w:rsidRPr="00A72B65">
        <w:rPr>
          <w:rFonts w:eastAsia="Times New Roman" w:cstheme="minorHAnsi"/>
          <w:color w:val="000000"/>
          <w:sz w:val="21"/>
          <w:szCs w:val="21"/>
        </w:rPr>
        <w:t>.</w:t>
      </w:r>
      <w:r w:rsidR="00C61B36">
        <w:rPr>
          <w:rFonts w:eastAsia="Times New Roman" w:cstheme="minorHAnsi"/>
          <w:color w:val="000000"/>
          <w:sz w:val="20"/>
          <w:szCs w:val="20"/>
        </w:rPr>
        <w:t xml:space="preserve">   </w:t>
      </w:r>
    </w:p>
    <w:tbl>
      <w:tblPr>
        <w:tblW w:w="11069" w:type="dxa"/>
        <w:jc w:val="center"/>
        <w:tblLayout w:type="fixed"/>
        <w:tblCellMar>
          <w:left w:w="0" w:type="dxa"/>
          <w:right w:w="0" w:type="dxa"/>
        </w:tblCellMar>
        <w:tblLook w:val="01E0" w:firstRow="1" w:lastRow="1" w:firstColumn="1" w:lastColumn="1" w:noHBand="0" w:noVBand="0"/>
      </w:tblPr>
      <w:tblGrid>
        <w:gridCol w:w="4858"/>
        <w:gridCol w:w="990"/>
        <w:gridCol w:w="1080"/>
        <w:gridCol w:w="900"/>
        <w:gridCol w:w="900"/>
        <w:gridCol w:w="900"/>
        <w:gridCol w:w="1441"/>
      </w:tblGrid>
      <w:tr w:rsidR="00D0634B" w:rsidRPr="00533CC8" w14:paraId="10083685" w14:textId="77777777" w:rsidTr="00D53272">
        <w:trPr>
          <w:trHeight w:hRule="exact" w:val="536"/>
          <w:jc w:val="center"/>
        </w:trPr>
        <w:tc>
          <w:tcPr>
            <w:tcW w:w="4858" w:type="dxa"/>
            <w:tcBorders>
              <w:top w:val="single" w:sz="5" w:space="0" w:color="000000"/>
              <w:left w:val="single" w:sz="5" w:space="0" w:color="000000"/>
              <w:bottom w:val="single" w:sz="5" w:space="0" w:color="000000"/>
              <w:right w:val="single" w:sz="5" w:space="0" w:color="000000"/>
            </w:tcBorders>
            <w:shd w:val="clear" w:color="auto" w:fill="E7E6E6"/>
          </w:tcPr>
          <w:p w14:paraId="2F7FB95D" w14:textId="77777777" w:rsidR="00D0634B" w:rsidRPr="00D53272" w:rsidRDefault="00D0634B" w:rsidP="00197F58">
            <w:pPr>
              <w:pStyle w:val="TableParagraph"/>
              <w:ind w:left="109" w:right="992"/>
              <w:contextualSpacing/>
              <w:rPr>
                <w:rFonts w:cstheme="minorHAnsi"/>
                <w:spacing w:val="27"/>
                <w:w w:val="101"/>
                <w:sz w:val="18"/>
                <w:szCs w:val="18"/>
              </w:rPr>
            </w:pPr>
            <w:r w:rsidRPr="00D53272">
              <w:rPr>
                <w:rFonts w:cstheme="minorHAnsi"/>
                <w:b/>
                <w:color w:val="163F66"/>
                <w:spacing w:val="-2"/>
                <w:sz w:val="18"/>
                <w:szCs w:val="18"/>
              </w:rPr>
              <w:t>HUD</w:t>
            </w:r>
            <w:r w:rsidRPr="00D53272">
              <w:rPr>
                <w:rFonts w:cstheme="minorHAnsi"/>
                <w:b/>
                <w:color w:val="163F66"/>
                <w:sz w:val="18"/>
                <w:szCs w:val="18"/>
              </w:rPr>
              <w:t xml:space="preserve"> </w:t>
            </w:r>
            <w:r w:rsidRPr="00D53272">
              <w:rPr>
                <w:rFonts w:cstheme="minorHAnsi"/>
                <w:b/>
                <w:color w:val="163F66"/>
                <w:spacing w:val="-1"/>
                <w:sz w:val="18"/>
                <w:szCs w:val="18"/>
              </w:rPr>
              <w:t>Programs</w:t>
            </w:r>
            <w:r w:rsidRPr="00D53272">
              <w:rPr>
                <w:rFonts w:cstheme="minorHAnsi"/>
                <w:b/>
                <w:color w:val="163F66"/>
                <w:spacing w:val="27"/>
                <w:sz w:val="18"/>
                <w:szCs w:val="18"/>
              </w:rPr>
              <w:t xml:space="preserve"> </w:t>
            </w:r>
            <w:r w:rsidRPr="00D53272">
              <w:rPr>
                <w:rFonts w:cstheme="minorHAnsi"/>
                <w:sz w:val="18"/>
                <w:szCs w:val="18"/>
              </w:rPr>
              <w:t>(</w:t>
            </w:r>
            <w:r w:rsidRPr="00D53272">
              <w:rPr>
                <w:rFonts w:cstheme="minorHAnsi"/>
                <w:i/>
                <w:sz w:val="18"/>
                <w:szCs w:val="18"/>
              </w:rPr>
              <w:t xml:space="preserve">set </w:t>
            </w:r>
            <w:r w:rsidRPr="00D53272">
              <w:rPr>
                <w:rFonts w:cstheme="minorHAnsi"/>
                <w:i/>
                <w:spacing w:val="7"/>
                <w:sz w:val="18"/>
                <w:szCs w:val="18"/>
              </w:rPr>
              <w:t>a</w:t>
            </w:r>
            <w:r w:rsidRPr="00D53272">
              <w:rPr>
                <w:rFonts w:cstheme="minorHAnsi"/>
                <w:i/>
                <w:spacing w:val="-2"/>
                <w:sz w:val="18"/>
                <w:szCs w:val="18"/>
              </w:rPr>
              <w:t>sides</w:t>
            </w:r>
            <w:r w:rsidRPr="00D53272">
              <w:rPr>
                <w:rFonts w:cstheme="minorHAnsi"/>
                <w:i/>
                <w:spacing w:val="10"/>
                <w:sz w:val="18"/>
                <w:szCs w:val="18"/>
              </w:rPr>
              <w:t xml:space="preserve"> </w:t>
            </w:r>
            <w:r w:rsidRPr="00D53272">
              <w:rPr>
                <w:rFonts w:cstheme="minorHAnsi"/>
                <w:i/>
                <w:spacing w:val="-2"/>
                <w:sz w:val="18"/>
                <w:szCs w:val="18"/>
              </w:rPr>
              <w:t>italicized</w:t>
            </w:r>
            <w:r w:rsidRPr="00D53272">
              <w:rPr>
                <w:rFonts w:cstheme="minorHAnsi"/>
                <w:spacing w:val="-2"/>
                <w:sz w:val="18"/>
                <w:szCs w:val="18"/>
              </w:rPr>
              <w:t>)</w:t>
            </w:r>
            <w:r w:rsidRPr="00D53272">
              <w:rPr>
                <w:rFonts w:cstheme="minorHAnsi"/>
                <w:spacing w:val="27"/>
                <w:w w:val="101"/>
                <w:sz w:val="18"/>
                <w:szCs w:val="18"/>
              </w:rPr>
              <w:t xml:space="preserve"> </w:t>
            </w:r>
          </w:p>
          <w:p w14:paraId="51F6EC91" w14:textId="77777777" w:rsidR="00D0634B" w:rsidRPr="00D53272" w:rsidRDefault="00D0634B" w:rsidP="00197F58">
            <w:pPr>
              <w:pStyle w:val="TableParagraph"/>
              <w:ind w:left="109" w:right="992"/>
              <w:contextualSpacing/>
              <w:rPr>
                <w:rFonts w:eastAsia="Arial" w:cstheme="minorHAnsi"/>
                <w:sz w:val="18"/>
                <w:szCs w:val="18"/>
              </w:rPr>
            </w:pPr>
            <w:r w:rsidRPr="00D53272">
              <w:rPr>
                <w:rFonts w:cstheme="minorHAnsi"/>
                <w:spacing w:val="1"/>
                <w:sz w:val="18"/>
                <w:szCs w:val="18"/>
              </w:rPr>
              <w:t>(In</w:t>
            </w:r>
            <w:r w:rsidRPr="00D53272">
              <w:rPr>
                <w:rFonts w:cstheme="minorHAnsi"/>
                <w:sz w:val="18"/>
                <w:szCs w:val="18"/>
              </w:rPr>
              <w:t xml:space="preserve"> </w:t>
            </w:r>
            <w:r w:rsidRPr="00D53272">
              <w:rPr>
                <w:rFonts w:cstheme="minorHAnsi"/>
                <w:spacing w:val="-2"/>
                <w:sz w:val="18"/>
                <w:szCs w:val="18"/>
              </w:rPr>
              <w:t>millions)</w:t>
            </w:r>
          </w:p>
        </w:tc>
        <w:tc>
          <w:tcPr>
            <w:tcW w:w="990" w:type="dxa"/>
            <w:tcBorders>
              <w:top w:val="single" w:sz="5" w:space="0" w:color="000000"/>
              <w:left w:val="single" w:sz="5" w:space="0" w:color="000000"/>
              <w:bottom w:val="single" w:sz="5" w:space="0" w:color="000000"/>
              <w:right w:val="single" w:sz="5" w:space="0" w:color="000000"/>
            </w:tcBorders>
            <w:shd w:val="clear" w:color="auto" w:fill="E7E6E6"/>
          </w:tcPr>
          <w:p w14:paraId="08DE67F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FY17</w:t>
            </w:r>
          </w:p>
          <w:p w14:paraId="57476125"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z w:val="18"/>
                <w:szCs w:val="18"/>
              </w:rPr>
              <w:t>Final</w:t>
            </w:r>
          </w:p>
        </w:tc>
        <w:tc>
          <w:tcPr>
            <w:tcW w:w="1080" w:type="dxa"/>
            <w:tcBorders>
              <w:top w:val="single" w:sz="5" w:space="0" w:color="000000"/>
              <w:left w:val="single" w:sz="5" w:space="0" w:color="000000"/>
              <w:bottom w:val="single" w:sz="5" w:space="0" w:color="000000"/>
              <w:right w:val="single" w:sz="5" w:space="0" w:color="000000"/>
            </w:tcBorders>
            <w:shd w:val="clear" w:color="auto" w:fill="E7E6E6"/>
          </w:tcPr>
          <w:p w14:paraId="6866B04A" w14:textId="77777777" w:rsidR="00D0634B" w:rsidRPr="00D53272" w:rsidRDefault="00D0634B" w:rsidP="00197F58">
            <w:pPr>
              <w:pStyle w:val="TableParagraph"/>
              <w:ind w:left="2"/>
              <w:contextualSpacing/>
              <w:jc w:val="center"/>
              <w:rPr>
                <w:rFonts w:eastAsia="Arial" w:cstheme="minorHAnsi"/>
                <w:sz w:val="18"/>
                <w:szCs w:val="18"/>
              </w:rPr>
            </w:pPr>
            <w:r w:rsidRPr="00D53272">
              <w:rPr>
                <w:rFonts w:cstheme="minorHAnsi"/>
                <w:b/>
                <w:color w:val="163F66"/>
                <w:spacing w:val="-1"/>
                <w:sz w:val="18"/>
                <w:szCs w:val="18"/>
              </w:rPr>
              <w:t>FY18</w:t>
            </w:r>
          </w:p>
          <w:p w14:paraId="4685FDA5" w14:textId="77777777" w:rsidR="00D0634B" w:rsidRPr="00D53272" w:rsidRDefault="00D0634B" w:rsidP="00197F58">
            <w:pPr>
              <w:pStyle w:val="TableParagraph"/>
              <w:ind w:left="1"/>
              <w:contextualSpacing/>
              <w:jc w:val="center"/>
              <w:rPr>
                <w:rFonts w:eastAsia="Arial" w:cstheme="minorHAnsi"/>
                <w:sz w:val="18"/>
                <w:szCs w:val="18"/>
              </w:rPr>
            </w:pPr>
            <w:r w:rsidRPr="00D53272">
              <w:rPr>
                <w:rFonts w:cstheme="minorHAnsi"/>
                <w:b/>
                <w:color w:val="163F66"/>
                <w:spacing w:val="-1"/>
                <w:sz w:val="18"/>
                <w:szCs w:val="18"/>
              </w:rPr>
              <w:t>President</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1D6078F6"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90D3CED"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House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2BE7157C"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5B2FF12A"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Senate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5943BE2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6E305EF" w14:textId="453B0EB5" w:rsidR="00D0634B" w:rsidRPr="00D53272" w:rsidRDefault="00D0634B" w:rsidP="00197F58">
            <w:pPr>
              <w:pStyle w:val="TableParagraph"/>
              <w:ind w:left="186" w:right="197" w:firstLine="43"/>
              <w:contextualSpacing/>
              <w:jc w:val="center"/>
              <w:rPr>
                <w:rFonts w:eastAsia="Arial" w:cstheme="minorHAnsi"/>
                <w:sz w:val="18"/>
                <w:szCs w:val="18"/>
              </w:rPr>
            </w:pPr>
            <w:r w:rsidRPr="00D53272">
              <w:rPr>
                <w:rFonts w:cstheme="minorHAnsi"/>
                <w:b/>
                <w:color w:val="163F66"/>
                <w:sz w:val="18"/>
                <w:szCs w:val="18"/>
              </w:rPr>
              <w:t>Final</w:t>
            </w:r>
          </w:p>
        </w:tc>
        <w:tc>
          <w:tcPr>
            <w:tcW w:w="1441" w:type="dxa"/>
            <w:tcBorders>
              <w:top w:val="single" w:sz="5" w:space="0" w:color="000000"/>
              <w:left w:val="single" w:sz="5" w:space="0" w:color="000000"/>
              <w:bottom w:val="single" w:sz="5" w:space="0" w:color="000000"/>
              <w:right w:val="single" w:sz="5" w:space="0" w:color="000000"/>
            </w:tcBorders>
            <w:shd w:val="clear" w:color="auto" w:fill="E7E6E6"/>
          </w:tcPr>
          <w:p w14:paraId="1E676FE7" w14:textId="77777777" w:rsidR="00D0634B" w:rsidRPr="00D53272" w:rsidRDefault="00D0634B" w:rsidP="00197F58">
            <w:pPr>
              <w:pStyle w:val="TableParagraph"/>
              <w:ind w:right="1"/>
              <w:contextualSpacing/>
              <w:jc w:val="center"/>
              <w:rPr>
                <w:rFonts w:eastAsia="Arial" w:cstheme="minorHAnsi"/>
                <w:sz w:val="18"/>
                <w:szCs w:val="18"/>
              </w:rPr>
            </w:pPr>
            <w:r w:rsidRPr="00D53272">
              <w:rPr>
                <w:rFonts w:cstheme="minorHAnsi"/>
                <w:b/>
                <w:color w:val="163F66"/>
                <w:spacing w:val="-1"/>
                <w:sz w:val="18"/>
                <w:szCs w:val="18"/>
              </w:rPr>
              <w:t>FY19</w:t>
            </w:r>
          </w:p>
          <w:p w14:paraId="013CAEBD" w14:textId="77777777" w:rsidR="00D0634B" w:rsidRPr="00D53272" w:rsidRDefault="00D0634B" w:rsidP="00197F58">
            <w:pPr>
              <w:pStyle w:val="TableParagraph"/>
              <w:ind w:right="3"/>
              <w:contextualSpacing/>
              <w:jc w:val="center"/>
              <w:rPr>
                <w:rFonts w:eastAsia="Arial" w:cstheme="minorHAnsi"/>
                <w:sz w:val="18"/>
                <w:szCs w:val="18"/>
              </w:rPr>
            </w:pPr>
            <w:r w:rsidRPr="00D53272">
              <w:rPr>
                <w:rFonts w:cstheme="minorHAnsi"/>
                <w:b/>
                <w:color w:val="163F66"/>
                <w:spacing w:val="-1"/>
                <w:sz w:val="18"/>
                <w:szCs w:val="18"/>
              </w:rPr>
              <w:t>President^</w:t>
            </w:r>
          </w:p>
        </w:tc>
      </w:tr>
      <w:tr w:rsidR="00D0634B" w:rsidRPr="00533CC8" w14:paraId="482B6EF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6204617"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Tenant</w:t>
            </w:r>
            <w:r w:rsidRPr="00D53272">
              <w:rPr>
                <w:rFonts w:cstheme="minorHAnsi"/>
                <w:b/>
                <w:spacing w:val="4"/>
                <w:sz w:val="18"/>
                <w:szCs w:val="18"/>
              </w:rPr>
              <w:t xml:space="preserve"> </w:t>
            </w:r>
            <w:r w:rsidRPr="00D53272">
              <w:rPr>
                <w:rFonts w:cstheme="minorHAnsi"/>
                <w:b/>
                <w:spacing w:val="-1"/>
                <w:sz w:val="18"/>
                <w:szCs w:val="18"/>
              </w:rPr>
              <w:t>Based</w:t>
            </w:r>
            <w:r w:rsidRPr="00D53272">
              <w:rPr>
                <w:rFonts w:cstheme="minorHAnsi"/>
                <w:b/>
                <w:sz w:val="18"/>
                <w:szCs w:val="18"/>
              </w:rPr>
              <w:t xml:space="preserve"> </w:t>
            </w: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p>
        </w:tc>
        <w:tc>
          <w:tcPr>
            <w:tcW w:w="990" w:type="dxa"/>
            <w:tcBorders>
              <w:top w:val="single" w:sz="5" w:space="0" w:color="000000"/>
              <w:left w:val="single" w:sz="5" w:space="0" w:color="000000"/>
              <w:bottom w:val="single" w:sz="5" w:space="0" w:color="000000"/>
              <w:right w:val="single" w:sz="5" w:space="0" w:color="000000"/>
            </w:tcBorders>
          </w:tcPr>
          <w:p w14:paraId="3F2DA10E"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b/>
                <w:spacing w:val="-2"/>
                <w:sz w:val="18"/>
                <w:szCs w:val="18"/>
              </w:rPr>
              <w:t>20,292</w:t>
            </w:r>
          </w:p>
        </w:tc>
        <w:tc>
          <w:tcPr>
            <w:tcW w:w="1080" w:type="dxa"/>
            <w:tcBorders>
              <w:top w:val="single" w:sz="5" w:space="0" w:color="000000"/>
              <w:left w:val="single" w:sz="5" w:space="0" w:color="000000"/>
              <w:bottom w:val="single" w:sz="5" w:space="0" w:color="000000"/>
              <w:right w:val="single" w:sz="5" w:space="0" w:color="000000"/>
            </w:tcBorders>
          </w:tcPr>
          <w:p w14:paraId="54887D39"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b/>
                <w:spacing w:val="-2"/>
                <w:sz w:val="18"/>
                <w:szCs w:val="18"/>
              </w:rPr>
              <w:t>19,318</w:t>
            </w:r>
          </w:p>
        </w:tc>
        <w:tc>
          <w:tcPr>
            <w:tcW w:w="900" w:type="dxa"/>
            <w:tcBorders>
              <w:top w:val="single" w:sz="5" w:space="0" w:color="000000"/>
              <w:left w:val="single" w:sz="5" w:space="0" w:color="000000"/>
              <w:bottom w:val="single" w:sz="5" w:space="0" w:color="000000"/>
              <w:right w:val="single" w:sz="5" w:space="0" w:color="000000"/>
            </w:tcBorders>
          </w:tcPr>
          <w:p w14:paraId="1338E1DB"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20,487</w:t>
            </w:r>
          </w:p>
        </w:tc>
        <w:tc>
          <w:tcPr>
            <w:tcW w:w="900" w:type="dxa"/>
            <w:tcBorders>
              <w:top w:val="single" w:sz="5" w:space="0" w:color="000000"/>
              <w:left w:val="single" w:sz="5" w:space="0" w:color="000000"/>
              <w:bottom w:val="single" w:sz="5" w:space="0" w:color="000000"/>
              <w:right w:val="single" w:sz="5" w:space="0" w:color="000000"/>
            </w:tcBorders>
          </w:tcPr>
          <w:p w14:paraId="083D427D"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21,365</w:t>
            </w:r>
          </w:p>
        </w:tc>
        <w:tc>
          <w:tcPr>
            <w:tcW w:w="900" w:type="dxa"/>
            <w:tcBorders>
              <w:top w:val="single" w:sz="5" w:space="0" w:color="000000"/>
              <w:left w:val="single" w:sz="5" w:space="0" w:color="000000"/>
              <w:bottom w:val="single" w:sz="5" w:space="0" w:color="000000"/>
              <w:right w:val="single" w:sz="5" w:space="0" w:color="000000"/>
            </w:tcBorders>
          </w:tcPr>
          <w:p w14:paraId="312C642B" w14:textId="5DFE8707" w:rsidR="00D0634B" w:rsidRPr="00D53272" w:rsidRDefault="0095339E" w:rsidP="00714E6F">
            <w:pPr>
              <w:jc w:val="right"/>
              <w:rPr>
                <w:rFonts w:cstheme="minorHAnsi"/>
                <w:sz w:val="18"/>
                <w:szCs w:val="18"/>
              </w:rPr>
            </w:pPr>
            <w:r>
              <w:rPr>
                <w:rFonts w:cstheme="minorHAnsi"/>
                <w:sz w:val="18"/>
                <w:szCs w:val="18"/>
              </w:rPr>
              <w:t>22,015</w:t>
            </w:r>
          </w:p>
        </w:tc>
        <w:tc>
          <w:tcPr>
            <w:tcW w:w="1441" w:type="dxa"/>
            <w:tcBorders>
              <w:top w:val="single" w:sz="5" w:space="0" w:color="000000"/>
              <w:left w:val="single" w:sz="5" w:space="0" w:color="000000"/>
              <w:bottom w:val="single" w:sz="5" w:space="0" w:color="000000"/>
              <w:right w:val="single" w:sz="5" w:space="0" w:color="000000"/>
            </w:tcBorders>
          </w:tcPr>
          <w:p w14:paraId="0F0B864A"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b/>
                <w:spacing w:val="-2"/>
                <w:sz w:val="18"/>
                <w:szCs w:val="18"/>
              </w:rPr>
              <w:t>19,315</w:t>
            </w:r>
          </w:p>
        </w:tc>
      </w:tr>
      <w:tr w:rsidR="00D0634B" w:rsidRPr="00533CC8" w14:paraId="158EE18F" w14:textId="77777777" w:rsidTr="00834217">
        <w:trPr>
          <w:trHeight w:hRule="exact" w:val="278"/>
          <w:jc w:val="center"/>
        </w:trPr>
        <w:tc>
          <w:tcPr>
            <w:tcW w:w="4858" w:type="dxa"/>
            <w:tcBorders>
              <w:top w:val="single" w:sz="5" w:space="0" w:color="000000"/>
              <w:left w:val="single" w:sz="5" w:space="0" w:color="000000"/>
              <w:bottom w:val="single" w:sz="5" w:space="0" w:color="000000"/>
              <w:right w:val="single" w:sz="5" w:space="0" w:color="000000"/>
            </w:tcBorders>
          </w:tcPr>
          <w:p w14:paraId="454DE342"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Contract</w:t>
            </w:r>
            <w:r w:rsidRPr="00D53272">
              <w:rPr>
                <w:rFonts w:cstheme="minorHAnsi"/>
                <w:i/>
                <w:spacing w:val="2"/>
                <w:sz w:val="18"/>
                <w:szCs w:val="18"/>
              </w:rPr>
              <w:t xml:space="preserve"> </w:t>
            </w:r>
            <w:r w:rsidRPr="00D53272">
              <w:rPr>
                <w:rFonts w:cstheme="minorHAnsi"/>
                <w:i/>
                <w:spacing w:val="-1"/>
                <w:sz w:val="18"/>
                <w:szCs w:val="18"/>
              </w:rPr>
              <w:t>Renewals</w:t>
            </w:r>
          </w:p>
        </w:tc>
        <w:tc>
          <w:tcPr>
            <w:tcW w:w="990" w:type="dxa"/>
            <w:tcBorders>
              <w:top w:val="single" w:sz="5" w:space="0" w:color="000000"/>
              <w:left w:val="single" w:sz="5" w:space="0" w:color="000000"/>
              <w:bottom w:val="single" w:sz="5" w:space="0" w:color="000000"/>
              <w:right w:val="single" w:sz="5" w:space="0" w:color="000000"/>
            </w:tcBorders>
          </w:tcPr>
          <w:p w14:paraId="581444C6"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i/>
                <w:spacing w:val="-1"/>
                <w:sz w:val="18"/>
                <w:szCs w:val="18"/>
              </w:rPr>
              <w:t>18,355</w:t>
            </w:r>
          </w:p>
        </w:tc>
        <w:tc>
          <w:tcPr>
            <w:tcW w:w="1080" w:type="dxa"/>
            <w:tcBorders>
              <w:top w:val="single" w:sz="5" w:space="0" w:color="000000"/>
              <w:left w:val="single" w:sz="5" w:space="0" w:color="000000"/>
              <w:bottom w:val="single" w:sz="5" w:space="0" w:color="000000"/>
              <w:right w:val="single" w:sz="5" w:space="0" w:color="000000"/>
            </w:tcBorders>
          </w:tcPr>
          <w:p w14:paraId="1C9F4C0E"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i/>
                <w:spacing w:val="-1"/>
                <w:sz w:val="18"/>
                <w:szCs w:val="18"/>
              </w:rPr>
              <w:t>17,584</w:t>
            </w:r>
          </w:p>
        </w:tc>
        <w:tc>
          <w:tcPr>
            <w:tcW w:w="900" w:type="dxa"/>
            <w:tcBorders>
              <w:top w:val="single" w:sz="5" w:space="0" w:color="000000"/>
              <w:left w:val="single" w:sz="5" w:space="0" w:color="000000"/>
              <w:bottom w:val="single" w:sz="5" w:space="0" w:color="000000"/>
              <w:right w:val="single" w:sz="5" w:space="0" w:color="000000"/>
            </w:tcBorders>
          </w:tcPr>
          <w:p w14:paraId="26356CA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18,710</w:t>
            </w:r>
          </w:p>
        </w:tc>
        <w:tc>
          <w:tcPr>
            <w:tcW w:w="900" w:type="dxa"/>
            <w:tcBorders>
              <w:top w:val="single" w:sz="5" w:space="0" w:color="000000"/>
              <w:left w:val="single" w:sz="5" w:space="0" w:color="000000"/>
              <w:bottom w:val="single" w:sz="5" w:space="0" w:color="000000"/>
              <w:right w:val="single" w:sz="5" w:space="0" w:color="000000"/>
            </w:tcBorders>
          </w:tcPr>
          <w:p w14:paraId="6A9746D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19,370</w:t>
            </w:r>
          </w:p>
        </w:tc>
        <w:tc>
          <w:tcPr>
            <w:tcW w:w="900" w:type="dxa"/>
            <w:tcBorders>
              <w:top w:val="single" w:sz="5" w:space="0" w:color="000000"/>
              <w:left w:val="single" w:sz="5" w:space="0" w:color="000000"/>
              <w:bottom w:val="single" w:sz="5" w:space="0" w:color="000000"/>
              <w:right w:val="single" w:sz="5" w:space="0" w:color="000000"/>
            </w:tcBorders>
          </w:tcPr>
          <w:p w14:paraId="4886B5EC" w14:textId="534B5B13"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19,600</w:t>
            </w:r>
          </w:p>
        </w:tc>
        <w:tc>
          <w:tcPr>
            <w:tcW w:w="1441" w:type="dxa"/>
            <w:tcBorders>
              <w:top w:val="single" w:sz="5" w:space="0" w:color="000000"/>
              <w:left w:val="single" w:sz="5" w:space="0" w:color="000000"/>
              <w:bottom w:val="single" w:sz="5" w:space="0" w:color="000000"/>
              <w:right w:val="single" w:sz="5" w:space="0" w:color="000000"/>
            </w:tcBorders>
          </w:tcPr>
          <w:p w14:paraId="72FE0190"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i/>
                <w:spacing w:val="-1"/>
                <w:sz w:val="18"/>
                <w:szCs w:val="18"/>
              </w:rPr>
              <w:t>17,514</w:t>
            </w:r>
          </w:p>
        </w:tc>
      </w:tr>
      <w:tr w:rsidR="00D0634B" w:rsidRPr="00533CC8" w14:paraId="5C702F59"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56FE253"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Tenant</w:t>
            </w:r>
            <w:r w:rsidRPr="00D53272">
              <w:rPr>
                <w:rFonts w:cstheme="minorHAnsi"/>
                <w:i/>
                <w:spacing w:val="-3"/>
                <w:sz w:val="18"/>
                <w:szCs w:val="18"/>
              </w:rPr>
              <w:t xml:space="preserve"> </w:t>
            </w:r>
            <w:r w:rsidRPr="00D53272">
              <w:rPr>
                <w:rFonts w:cstheme="minorHAnsi"/>
                <w:i/>
                <w:spacing w:val="-1"/>
                <w:sz w:val="18"/>
                <w:szCs w:val="18"/>
              </w:rPr>
              <w:t>Protection</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504A468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110</w:t>
            </w:r>
          </w:p>
        </w:tc>
        <w:tc>
          <w:tcPr>
            <w:tcW w:w="1080" w:type="dxa"/>
            <w:tcBorders>
              <w:top w:val="single" w:sz="5" w:space="0" w:color="000000"/>
              <w:left w:val="single" w:sz="5" w:space="0" w:color="000000"/>
              <w:bottom w:val="single" w:sz="5" w:space="0" w:color="000000"/>
              <w:right w:val="single" w:sz="5" w:space="0" w:color="000000"/>
            </w:tcBorders>
          </w:tcPr>
          <w:p w14:paraId="4C812BC5" w14:textId="77777777" w:rsidR="00D0634B" w:rsidRPr="00D53272" w:rsidRDefault="00D0634B" w:rsidP="00714E6F">
            <w:pPr>
              <w:pStyle w:val="TableParagraph"/>
              <w:ind w:right="102"/>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12790647"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47F27FE0"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3D20830D" w14:textId="34880655"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85</w:t>
            </w:r>
          </w:p>
        </w:tc>
        <w:tc>
          <w:tcPr>
            <w:tcW w:w="1441" w:type="dxa"/>
            <w:tcBorders>
              <w:top w:val="single" w:sz="5" w:space="0" w:color="000000"/>
              <w:left w:val="single" w:sz="5" w:space="0" w:color="000000"/>
              <w:bottom w:val="single" w:sz="5" w:space="0" w:color="000000"/>
              <w:right w:val="single" w:sz="5" w:space="0" w:color="000000"/>
            </w:tcBorders>
          </w:tcPr>
          <w:p w14:paraId="235058ED"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140</w:t>
            </w:r>
          </w:p>
        </w:tc>
      </w:tr>
      <w:tr w:rsidR="00D0634B" w:rsidRPr="00533CC8" w14:paraId="46C1067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6D54C7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Administrative</w:t>
            </w:r>
            <w:r w:rsidRPr="00D53272">
              <w:rPr>
                <w:rFonts w:cstheme="minorHAnsi"/>
                <w:i/>
                <w:spacing w:val="3"/>
                <w:sz w:val="18"/>
                <w:szCs w:val="18"/>
              </w:rPr>
              <w:t xml:space="preserve"> </w:t>
            </w:r>
            <w:r w:rsidRPr="00D53272">
              <w:rPr>
                <w:rFonts w:cstheme="minorHAnsi"/>
                <w:i/>
                <w:spacing w:val="-2"/>
                <w:sz w:val="18"/>
                <w:szCs w:val="18"/>
              </w:rPr>
              <w:t>Fees</w:t>
            </w:r>
          </w:p>
        </w:tc>
        <w:tc>
          <w:tcPr>
            <w:tcW w:w="990" w:type="dxa"/>
            <w:tcBorders>
              <w:top w:val="single" w:sz="5" w:space="0" w:color="000000"/>
              <w:left w:val="single" w:sz="5" w:space="0" w:color="000000"/>
              <w:bottom w:val="single" w:sz="5" w:space="0" w:color="000000"/>
              <w:right w:val="single" w:sz="5" w:space="0" w:color="000000"/>
            </w:tcBorders>
          </w:tcPr>
          <w:p w14:paraId="4FE3309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1,650</w:t>
            </w:r>
          </w:p>
        </w:tc>
        <w:tc>
          <w:tcPr>
            <w:tcW w:w="1080" w:type="dxa"/>
            <w:tcBorders>
              <w:top w:val="single" w:sz="5" w:space="0" w:color="000000"/>
              <w:left w:val="single" w:sz="5" w:space="0" w:color="000000"/>
              <w:bottom w:val="single" w:sz="5" w:space="0" w:color="000000"/>
              <w:right w:val="single" w:sz="5" w:space="0" w:color="000000"/>
            </w:tcBorders>
          </w:tcPr>
          <w:p w14:paraId="59CD10DD"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B0CC49B"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3DF2B6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1,725</w:t>
            </w:r>
          </w:p>
        </w:tc>
        <w:tc>
          <w:tcPr>
            <w:tcW w:w="900" w:type="dxa"/>
            <w:tcBorders>
              <w:top w:val="single" w:sz="5" w:space="0" w:color="000000"/>
              <w:left w:val="single" w:sz="5" w:space="0" w:color="000000"/>
              <w:bottom w:val="single" w:sz="5" w:space="0" w:color="000000"/>
              <w:right w:val="single" w:sz="5" w:space="0" w:color="000000"/>
            </w:tcBorders>
          </w:tcPr>
          <w:p w14:paraId="438FDD23" w14:textId="5FD28313"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1,760</w:t>
            </w:r>
          </w:p>
        </w:tc>
        <w:tc>
          <w:tcPr>
            <w:tcW w:w="1441" w:type="dxa"/>
            <w:tcBorders>
              <w:top w:val="single" w:sz="5" w:space="0" w:color="000000"/>
              <w:left w:val="single" w:sz="5" w:space="0" w:color="000000"/>
              <w:bottom w:val="single" w:sz="5" w:space="0" w:color="000000"/>
              <w:right w:val="single" w:sz="5" w:space="0" w:color="000000"/>
            </w:tcBorders>
          </w:tcPr>
          <w:p w14:paraId="01236AB3"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i/>
                <w:sz w:val="18"/>
                <w:szCs w:val="18"/>
              </w:rPr>
              <w:t>1,550</w:t>
            </w:r>
          </w:p>
        </w:tc>
      </w:tr>
      <w:tr w:rsidR="00D0634B" w:rsidRPr="00533CC8" w14:paraId="2677D38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622720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Section</w:t>
            </w:r>
            <w:r w:rsidRPr="00D53272">
              <w:rPr>
                <w:rFonts w:cstheme="minorHAnsi"/>
                <w:i/>
                <w:spacing w:val="-2"/>
                <w:sz w:val="18"/>
                <w:szCs w:val="18"/>
              </w:rPr>
              <w:t xml:space="preserve"> </w:t>
            </w:r>
            <w:r w:rsidRPr="00D53272">
              <w:rPr>
                <w:rFonts w:cstheme="minorHAnsi"/>
                <w:i/>
                <w:spacing w:val="-1"/>
                <w:sz w:val="18"/>
                <w:szCs w:val="18"/>
              </w:rPr>
              <w:t>811</w:t>
            </w:r>
            <w:r w:rsidRPr="00D53272">
              <w:rPr>
                <w:rFonts w:cstheme="minorHAnsi"/>
                <w:i/>
                <w:spacing w:val="3"/>
                <w:sz w:val="18"/>
                <w:szCs w:val="18"/>
              </w:rPr>
              <w:t xml:space="preserve"> </w:t>
            </w:r>
            <w:r w:rsidRPr="00D53272">
              <w:rPr>
                <w:rFonts w:cstheme="minorHAnsi"/>
                <w:i/>
                <w:spacing w:val="-1"/>
                <w:sz w:val="18"/>
                <w:szCs w:val="18"/>
              </w:rPr>
              <w:t>Mainstream</w:t>
            </w:r>
            <w:r w:rsidRPr="00D53272">
              <w:rPr>
                <w:rFonts w:cstheme="minorHAnsi"/>
                <w:i/>
                <w:spacing w:val="-6"/>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227D579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120</w:t>
            </w:r>
          </w:p>
        </w:tc>
        <w:tc>
          <w:tcPr>
            <w:tcW w:w="1080" w:type="dxa"/>
            <w:tcBorders>
              <w:top w:val="single" w:sz="5" w:space="0" w:color="000000"/>
              <w:left w:val="single" w:sz="5" w:space="0" w:color="000000"/>
              <w:bottom w:val="single" w:sz="5" w:space="0" w:color="000000"/>
              <w:right w:val="single" w:sz="5" w:space="0" w:color="000000"/>
            </w:tcBorders>
          </w:tcPr>
          <w:p w14:paraId="3D9584EF"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i/>
                <w:spacing w:val="-1"/>
                <w:sz w:val="18"/>
                <w:szCs w:val="18"/>
              </w:rPr>
              <w:t>107</w:t>
            </w:r>
          </w:p>
        </w:tc>
        <w:tc>
          <w:tcPr>
            <w:tcW w:w="900" w:type="dxa"/>
            <w:tcBorders>
              <w:top w:val="single" w:sz="5" w:space="0" w:color="000000"/>
              <w:left w:val="single" w:sz="5" w:space="0" w:color="000000"/>
              <w:bottom w:val="single" w:sz="5" w:space="0" w:color="000000"/>
              <w:right w:val="single" w:sz="5" w:space="0" w:color="000000"/>
            </w:tcBorders>
          </w:tcPr>
          <w:p w14:paraId="2C199932"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150</w:t>
            </w:r>
          </w:p>
        </w:tc>
        <w:tc>
          <w:tcPr>
            <w:tcW w:w="900" w:type="dxa"/>
            <w:tcBorders>
              <w:top w:val="single" w:sz="5" w:space="0" w:color="000000"/>
              <w:left w:val="single" w:sz="5" w:space="0" w:color="000000"/>
              <w:bottom w:val="single" w:sz="5" w:space="0" w:color="000000"/>
              <w:right w:val="single" w:sz="5" w:space="0" w:color="000000"/>
            </w:tcBorders>
          </w:tcPr>
          <w:p w14:paraId="6D16DADE"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130</w:t>
            </w:r>
          </w:p>
        </w:tc>
        <w:tc>
          <w:tcPr>
            <w:tcW w:w="900" w:type="dxa"/>
            <w:tcBorders>
              <w:top w:val="single" w:sz="5" w:space="0" w:color="000000"/>
              <w:left w:val="single" w:sz="5" w:space="0" w:color="000000"/>
              <w:bottom w:val="single" w:sz="5" w:space="0" w:color="000000"/>
              <w:right w:val="single" w:sz="5" w:space="0" w:color="000000"/>
            </w:tcBorders>
          </w:tcPr>
          <w:p w14:paraId="20D77056" w14:textId="0B7AED4F"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505</w:t>
            </w:r>
          </w:p>
        </w:tc>
        <w:tc>
          <w:tcPr>
            <w:tcW w:w="1441" w:type="dxa"/>
            <w:tcBorders>
              <w:top w:val="single" w:sz="5" w:space="0" w:color="000000"/>
              <w:left w:val="single" w:sz="5" w:space="0" w:color="000000"/>
              <w:bottom w:val="single" w:sz="5" w:space="0" w:color="000000"/>
              <w:right w:val="single" w:sz="5" w:space="0" w:color="000000"/>
            </w:tcBorders>
          </w:tcPr>
          <w:p w14:paraId="03FD461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107</w:t>
            </w:r>
          </w:p>
        </w:tc>
      </w:tr>
      <w:tr w:rsidR="00D0634B" w:rsidRPr="00533CC8" w14:paraId="6FD0B8B7" w14:textId="77777777" w:rsidTr="00834217">
        <w:trPr>
          <w:trHeight w:hRule="exact" w:val="290"/>
          <w:jc w:val="center"/>
        </w:trPr>
        <w:tc>
          <w:tcPr>
            <w:tcW w:w="4858" w:type="dxa"/>
            <w:tcBorders>
              <w:top w:val="single" w:sz="5" w:space="0" w:color="000000"/>
              <w:left w:val="single" w:sz="5" w:space="0" w:color="000000"/>
              <w:bottom w:val="single" w:sz="5" w:space="0" w:color="000000"/>
              <w:right w:val="single" w:sz="5" w:space="0" w:color="000000"/>
            </w:tcBorders>
          </w:tcPr>
          <w:p w14:paraId="5DFB9C37" w14:textId="77777777" w:rsidR="00D0634B" w:rsidRPr="00D53272" w:rsidRDefault="00D0634B" w:rsidP="00714E6F">
            <w:pPr>
              <w:pStyle w:val="TableParagraph"/>
              <w:spacing w:before="4" w:line="250" w:lineRule="auto"/>
              <w:ind w:left="262" w:right="493"/>
              <w:rPr>
                <w:rFonts w:eastAsia="Arial" w:cstheme="minorHAnsi"/>
                <w:sz w:val="18"/>
                <w:szCs w:val="18"/>
              </w:rPr>
            </w:pPr>
            <w:r w:rsidRPr="00D53272">
              <w:rPr>
                <w:rFonts w:cstheme="minorHAnsi"/>
                <w:i/>
                <w:spacing w:val="-1"/>
                <w:sz w:val="18"/>
                <w:szCs w:val="18"/>
              </w:rPr>
              <w:t>VASH</w:t>
            </w:r>
            <w:r w:rsidRPr="00D53272">
              <w:rPr>
                <w:rFonts w:cstheme="minorHAnsi"/>
                <w:i/>
                <w:spacing w:val="33"/>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8A4DB93"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40</w:t>
            </w:r>
          </w:p>
        </w:tc>
        <w:tc>
          <w:tcPr>
            <w:tcW w:w="1080" w:type="dxa"/>
            <w:tcBorders>
              <w:top w:val="single" w:sz="5" w:space="0" w:color="000000"/>
              <w:left w:val="single" w:sz="5" w:space="0" w:color="000000"/>
              <w:bottom w:val="single" w:sz="5" w:space="0" w:color="000000"/>
              <w:right w:val="single" w:sz="5" w:space="0" w:color="000000"/>
            </w:tcBorders>
          </w:tcPr>
          <w:p w14:paraId="078857F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4A3761A" w14:textId="77777777" w:rsidR="00D0634B" w:rsidRPr="00D53272" w:rsidRDefault="00D0634B" w:rsidP="00714E6F">
            <w:pPr>
              <w:pStyle w:val="TableParagraph"/>
              <w:ind w:left="416"/>
              <w:jc w:val="right"/>
              <w:rPr>
                <w:rFonts w:eastAsia="Arial" w:cstheme="minorHAnsi"/>
                <w:sz w:val="18"/>
                <w:szCs w:val="18"/>
              </w:rPr>
            </w:pPr>
            <w:r w:rsidRPr="00D53272">
              <w:rPr>
                <w:rFonts w:cstheme="minorHAnsi"/>
                <w:i/>
                <w:sz w:val="18"/>
                <w:szCs w:val="18"/>
              </w:rPr>
              <w:t>577*</w:t>
            </w:r>
          </w:p>
        </w:tc>
        <w:tc>
          <w:tcPr>
            <w:tcW w:w="900" w:type="dxa"/>
            <w:tcBorders>
              <w:top w:val="single" w:sz="5" w:space="0" w:color="000000"/>
              <w:left w:val="single" w:sz="5" w:space="0" w:color="000000"/>
              <w:bottom w:val="single" w:sz="5" w:space="0" w:color="000000"/>
              <w:right w:val="single" w:sz="5" w:space="0" w:color="000000"/>
            </w:tcBorders>
          </w:tcPr>
          <w:p w14:paraId="5DF66EFA"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40</w:t>
            </w:r>
          </w:p>
        </w:tc>
        <w:tc>
          <w:tcPr>
            <w:tcW w:w="900" w:type="dxa"/>
            <w:tcBorders>
              <w:top w:val="single" w:sz="5" w:space="0" w:color="000000"/>
              <w:left w:val="single" w:sz="5" w:space="0" w:color="000000"/>
              <w:bottom w:val="single" w:sz="5" w:space="0" w:color="000000"/>
              <w:right w:val="single" w:sz="5" w:space="0" w:color="000000"/>
            </w:tcBorders>
          </w:tcPr>
          <w:p w14:paraId="520C5B1D" w14:textId="2FC5BDB6"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40</w:t>
            </w:r>
          </w:p>
        </w:tc>
        <w:tc>
          <w:tcPr>
            <w:tcW w:w="1441" w:type="dxa"/>
            <w:tcBorders>
              <w:top w:val="single" w:sz="5" w:space="0" w:color="000000"/>
              <w:left w:val="single" w:sz="5" w:space="0" w:color="000000"/>
              <w:bottom w:val="single" w:sz="5" w:space="0" w:color="000000"/>
              <w:right w:val="single" w:sz="5" w:space="0" w:color="000000"/>
            </w:tcBorders>
          </w:tcPr>
          <w:p w14:paraId="3F104FC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3A39AC43" w14:textId="77777777" w:rsidTr="00834217">
        <w:trPr>
          <w:trHeight w:hRule="exact" w:val="272"/>
          <w:jc w:val="center"/>
        </w:trPr>
        <w:tc>
          <w:tcPr>
            <w:tcW w:w="4858" w:type="dxa"/>
            <w:tcBorders>
              <w:top w:val="single" w:sz="5" w:space="0" w:color="000000"/>
              <w:left w:val="single" w:sz="5" w:space="0" w:color="000000"/>
              <w:bottom w:val="single" w:sz="5" w:space="0" w:color="000000"/>
              <w:right w:val="single" w:sz="5" w:space="0" w:color="000000"/>
            </w:tcBorders>
          </w:tcPr>
          <w:p w14:paraId="354B2C42" w14:textId="77777777" w:rsidR="00D0634B" w:rsidRPr="00D53272" w:rsidRDefault="00D0634B" w:rsidP="00714E6F">
            <w:pPr>
              <w:pStyle w:val="TableParagraph"/>
              <w:spacing w:before="4" w:line="250" w:lineRule="auto"/>
              <w:ind w:left="262" w:right="752"/>
              <w:rPr>
                <w:rFonts w:eastAsia="Arial" w:cstheme="minorHAnsi"/>
                <w:sz w:val="18"/>
                <w:szCs w:val="18"/>
              </w:rPr>
            </w:pPr>
            <w:r w:rsidRPr="00D53272">
              <w:rPr>
                <w:rFonts w:cstheme="minorHAnsi"/>
                <w:i/>
                <w:sz w:val="18"/>
                <w:szCs w:val="18"/>
              </w:rPr>
              <w:t xml:space="preserve">Tribal </w:t>
            </w:r>
            <w:r w:rsidRPr="00D53272">
              <w:rPr>
                <w:rFonts w:cstheme="minorHAnsi"/>
                <w:i/>
                <w:spacing w:val="-1"/>
                <w:sz w:val="18"/>
                <w:szCs w:val="18"/>
              </w:rPr>
              <w:t>VASH</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FEDA97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1080" w:type="dxa"/>
            <w:tcBorders>
              <w:top w:val="single" w:sz="5" w:space="0" w:color="000000"/>
              <w:left w:val="single" w:sz="5" w:space="0" w:color="000000"/>
              <w:bottom w:val="single" w:sz="5" w:space="0" w:color="000000"/>
              <w:right w:val="single" w:sz="5" w:space="0" w:color="000000"/>
            </w:tcBorders>
          </w:tcPr>
          <w:p w14:paraId="7B8BB4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39A392C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5343D88E"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5</w:t>
            </w:r>
          </w:p>
        </w:tc>
        <w:tc>
          <w:tcPr>
            <w:tcW w:w="900" w:type="dxa"/>
            <w:tcBorders>
              <w:top w:val="single" w:sz="5" w:space="0" w:color="000000"/>
              <w:left w:val="single" w:sz="5" w:space="0" w:color="000000"/>
              <w:bottom w:val="single" w:sz="5" w:space="0" w:color="000000"/>
              <w:right w:val="single" w:sz="5" w:space="0" w:color="000000"/>
            </w:tcBorders>
          </w:tcPr>
          <w:p w14:paraId="6CD792C1" w14:textId="500BAC55" w:rsidR="00D0634B" w:rsidRPr="00D53272" w:rsidRDefault="0095339E" w:rsidP="00E07218">
            <w:pPr>
              <w:jc w:val="right"/>
              <w:rPr>
                <w:rFonts w:cstheme="minorHAnsi"/>
                <w:sz w:val="18"/>
                <w:szCs w:val="18"/>
              </w:rPr>
            </w:pPr>
            <w:r>
              <w:rPr>
                <w:rFonts w:cstheme="minorHAnsi"/>
                <w:sz w:val="18"/>
                <w:szCs w:val="18"/>
              </w:rPr>
              <w:t>5</w:t>
            </w:r>
          </w:p>
        </w:tc>
        <w:tc>
          <w:tcPr>
            <w:tcW w:w="1441" w:type="dxa"/>
            <w:tcBorders>
              <w:top w:val="single" w:sz="5" w:space="0" w:color="000000"/>
              <w:left w:val="single" w:sz="5" w:space="0" w:color="000000"/>
              <w:bottom w:val="single" w:sz="5" w:space="0" w:color="000000"/>
              <w:right w:val="single" w:sz="5" w:space="0" w:color="000000"/>
            </w:tcBorders>
          </w:tcPr>
          <w:p w14:paraId="2525E7C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4</w:t>
            </w:r>
          </w:p>
        </w:tc>
      </w:tr>
      <w:tr w:rsidR="00D0634B" w:rsidRPr="00533CC8" w14:paraId="30305289"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5192608E" w14:textId="77777777" w:rsidR="00D0634B" w:rsidRPr="00D53272" w:rsidRDefault="00D0634B" w:rsidP="00714E6F">
            <w:pPr>
              <w:pStyle w:val="TableParagraph"/>
              <w:spacing w:before="23"/>
              <w:ind w:left="262"/>
              <w:rPr>
                <w:rFonts w:eastAsia="Arial" w:cstheme="minorHAnsi"/>
                <w:sz w:val="18"/>
                <w:szCs w:val="18"/>
              </w:rPr>
            </w:pPr>
            <w:r w:rsidRPr="00D53272">
              <w:rPr>
                <w:rFonts w:cstheme="minorHAnsi"/>
                <w:i/>
                <w:spacing w:val="-1"/>
                <w:sz w:val="18"/>
                <w:szCs w:val="18"/>
              </w:rPr>
              <w:t>Family</w:t>
            </w:r>
            <w:r w:rsidRPr="00D53272">
              <w:rPr>
                <w:rFonts w:cstheme="minorHAnsi"/>
                <w:i/>
                <w:spacing w:val="1"/>
                <w:sz w:val="18"/>
                <w:szCs w:val="18"/>
              </w:rPr>
              <w:t xml:space="preserve"> </w:t>
            </w:r>
            <w:r w:rsidRPr="00D53272">
              <w:rPr>
                <w:rFonts w:cstheme="minorHAnsi"/>
                <w:i/>
                <w:spacing w:val="-1"/>
                <w:sz w:val="18"/>
                <w:szCs w:val="18"/>
              </w:rPr>
              <w:t>Unification</w:t>
            </w:r>
          </w:p>
        </w:tc>
        <w:tc>
          <w:tcPr>
            <w:tcW w:w="990" w:type="dxa"/>
            <w:tcBorders>
              <w:top w:val="single" w:sz="5" w:space="0" w:color="000000"/>
              <w:left w:val="single" w:sz="5" w:space="0" w:color="000000"/>
              <w:bottom w:val="single" w:sz="5" w:space="0" w:color="000000"/>
              <w:right w:val="single" w:sz="5" w:space="0" w:color="000000"/>
            </w:tcBorders>
          </w:tcPr>
          <w:p w14:paraId="778EF5BC"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10</w:t>
            </w:r>
          </w:p>
        </w:tc>
        <w:tc>
          <w:tcPr>
            <w:tcW w:w="1080" w:type="dxa"/>
            <w:tcBorders>
              <w:top w:val="single" w:sz="5" w:space="0" w:color="000000"/>
              <w:left w:val="single" w:sz="5" w:space="0" w:color="000000"/>
              <w:bottom w:val="single" w:sz="5" w:space="0" w:color="000000"/>
              <w:right w:val="single" w:sz="5" w:space="0" w:color="000000"/>
            </w:tcBorders>
          </w:tcPr>
          <w:p w14:paraId="42761872"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7949DA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B714AD7" w14:textId="77777777" w:rsidR="00D0634B" w:rsidRPr="00D53272" w:rsidRDefault="00D0634B" w:rsidP="00714E6F">
            <w:pPr>
              <w:pStyle w:val="TableParagraph"/>
              <w:ind w:left="622"/>
              <w:jc w:val="right"/>
              <w:rPr>
                <w:rFonts w:eastAsia="Arial" w:cstheme="minorHAnsi"/>
                <w:sz w:val="18"/>
                <w:szCs w:val="18"/>
              </w:rPr>
            </w:pPr>
            <w:r w:rsidRPr="00D53272">
              <w:rPr>
                <w:rFonts w:cstheme="minorHAnsi"/>
                <w:i/>
                <w:spacing w:val="2"/>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3450E9E8" w14:textId="0D2B3402" w:rsidR="00D0634B" w:rsidRPr="00D53272" w:rsidRDefault="0095339E" w:rsidP="00E07218">
            <w:pPr>
              <w:jc w:val="right"/>
              <w:rPr>
                <w:rFonts w:cstheme="minorHAnsi"/>
                <w:sz w:val="18"/>
                <w:szCs w:val="18"/>
              </w:rPr>
            </w:pPr>
            <w:r>
              <w:rPr>
                <w:rFonts w:cstheme="minorHAnsi"/>
                <w:sz w:val="18"/>
                <w:szCs w:val="18"/>
              </w:rPr>
              <w:t>20</w:t>
            </w:r>
          </w:p>
        </w:tc>
        <w:tc>
          <w:tcPr>
            <w:tcW w:w="1441" w:type="dxa"/>
            <w:tcBorders>
              <w:top w:val="single" w:sz="5" w:space="0" w:color="000000"/>
              <w:left w:val="single" w:sz="5" w:space="0" w:color="000000"/>
              <w:bottom w:val="single" w:sz="5" w:space="0" w:color="000000"/>
              <w:right w:val="single" w:sz="5" w:space="0" w:color="000000"/>
            </w:tcBorders>
          </w:tcPr>
          <w:p w14:paraId="1F2A2DE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7A357845"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48DB1428" w14:textId="77777777" w:rsidR="00D0634B" w:rsidRPr="00D53272" w:rsidRDefault="00D0634B" w:rsidP="00714E6F">
            <w:pPr>
              <w:pStyle w:val="TableParagraph"/>
              <w:spacing w:before="4"/>
              <w:ind w:left="109"/>
              <w:rPr>
                <w:rFonts w:cstheme="minorHAnsi"/>
                <w:b/>
                <w:spacing w:val="-1"/>
                <w:sz w:val="18"/>
                <w:szCs w:val="18"/>
              </w:rPr>
            </w:pPr>
            <w:r w:rsidRPr="00D53272">
              <w:rPr>
                <w:rFonts w:cstheme="minorHAnsi"/>
                <w:b/>
                <w:spacing w:val="-1"/>
                <w:sz w:val="18"/>
                <w:szCs w:val="18"/>
              </w:rPr>
              <w:t>Project-Based Rental Assistance</w:t>
            </w:r>
          </w:p>
        </w:tc>
        <w:tc>
          <w:tcPr>
            <w:tcW w:w="990" w:type="dxa"/>
            <w:tcBorders>
              <w:top w:val="single" w:sz="5" w:space="0" w:color="000000"/>
              <w:left w:val="single" w:sz="5" w:space="0" w:color="000000"/>
              <w:bottom w:val="single" w:sz="5" w:space="0" w:color="000000"/>
              <w:right w:val="single" w:sz="5" w:space="0" w:color="000000"/>
            </w:tcBorders>
          </w:tcPr>
          <w:p w14:paraId="17A119D3" w14:textId="77777777" w:rsidR="00D0634B" w:rsidRPr="00D53272" w:rsidRDefault="00D0634B" w:rsidP="00714E6F">
            <w:pPr>
              <w:pStyle w:val="TableParagraph"/>
              <w:ind w:left="195"/>
              <w:jc w:val="right"/>
              <w:rPr>
                <w:rFonts w:cstheme="minorHAnsi"/>
                <w:b/>
                <w:spacing w:val="-2"/>
                <w:sz w:val="18"/>
                <w:szCs w:val="18"/>
              </w:rPr>
            </w:pPr>
            <w:r w:rsidRPr="00D53272">
              <w:rPr>
                <w:rFonts w:cstheme="minorHAnsi"/>
                <w:b/>
                <w:spacing w:val="-2"/>
                <w:sz w:val="18"/>
                <w:szCs w:val="18"/>
              </w:rPr>
              <w:t>10,816</w:t>
            </w:r>
          </w:p>
        </w:tc>
        <w:tc>
          <w:tcPr>
            <w:tcW w:w="1080" w:type="dxa"/>
            <w:tcBorders>
              <w:top w:val="single" w:sz="5" w:space="0" w:color="000000"/>
              <w:left w:val="single" w:sz="5" w:space="0" w:color="000000"/>
              <w:bottom w:val="single" w:sz="5" w:space="0" w:color="000000"/>
              <w:right w:val="single" w:sz="5" w:space="0" w:color="000000"/>
            </w:tcBorders>
          </w:tcPr>
          <w:p w14:paraId="1A687E95" w14:textId="77777777" w:rsidR="00D0634B" w:rsidRPr="00D53272" w:rsidRDefault="00D0634B" w:rsidP="00714E6F">
            <w:pPr>
              <w:pStyle w:val="TableParagraph"/>
              <w:ind w:left="469"/>
              <w:jc w:val="right"/>
              <w:rPr>
                <w:rFonts w:cstheme="minorHAnsi"/>
                <w:i/>
                <w:w w:val="95"/>
                <w:sz w:val="18"/>
                <w:szCs w:val="18"/>
              </w:rPr>
            </w:pPr>
            <w:r w:rsidRPr="00D53272">
              <w:rPr>
                <w:rFonts w:cstheme="minorHAnsi"/>
                <w:b/>
                <w:spacing w:val="-2"/>
                <w:sz w:val="18"/>
                <w:szCs w:val="18"/>
              </w:rPr>
              <w:t>10,351</w:t>
            </w:r>
          </w:p>
        </w:tc>
        <w:tc>
          <w:tcPr>
            <w:tcW w:w="900" w:type="dxa"/>
            <w:tcBorders>
              <w:top w:val="single" w:sz="5" w:space="0" w:color="000000"/>
              <w:left w:val="single" w:sz="5" w:space="0" w:color="000000"/>
              <w:bottom w:val="single" w:sz="5" w:space="0" w:color="000000"/>
              <w:right w:val="single" w:sz="5" w:space="0" w:color="000000"/>
            </w:tcBorders>
          </w:tcPr>
          <w:p w14:paraId="35CCE62F" w14:textId="77777777" w:rsidR="00D0634B" w:rsidRPr="00D53272" w:rsidRDefault="00D0634B" w:rsidP="00714E6F">
            <w:pPr>
              <w:pStyle w:val="TableParagraph"/>
              <w:ind w:left="133"/>
              <w:jc w:val="right"/>
              <w:rPr>
                <w:rFonts w:cstheme="minorHAnsi"/>
                <w:i/>
                <w:w w:val="95"/>
                <w:sz w:val="18"/>
                <w:szCs w:val="18"/>
              </w:rPr>
            </w:pPr>
            <w:r w:rsidRPr="00D53272">
              <w:rPr>
                <w:rFonts w:cstheme="minorHAnsi"/>
                <w:b/>
                <w:spacing w:val="-2"/>
                <w:sz w:val="18"/>
                <w:szCs w:val="18"/>
              </w:rPr>
              <w:t>11,082</w:t>
            </w:r>
          </w:p>
        </w:tc>
        <w:tc>
          <w:tcPr>
            <w:tcW w:w="900" w:type="dxa"/>
            <w:tcBorders>
              <w:top w:val="single" w:sz="5" w:space="0" w:color="000000"/>
              <w:left w:val="single" w:sz="5" w:space="0" w:color="000000"/>
              <w:bottom w:val="single" w:sz="5" w:space="0" w:color="000000"/>
              <w:right w:val="single" w:sz="5" w:space="0" w:color="000000"/>
            </w:tcBorders>
          </w:tcPr>
          <w:p w14:paraId="10A75A91" w14:textId="77777777" w:rsidR="00D0634B" w:rsidRPr="00D53272" w:rsidRDefault="00D0634B" w:rsidP="00714E6F">
            <w:pPr>
              <w:pStyle w:val="TableParagraph"/>
              <w:ind w:left="133"/>
              <w:jc w:val="right"/>
              <w:rPr>
                <w:rFonts w:cstheme="minorHAnsi"/>
                <w:b/>
                <w:spacing w:val="-2"/>
                <w:sz w:val="18"/>
                <w:szCs w:val="18"/>
              </w:rPr>
            </w:pPr>
            <w:r w:rsidRPr="00D53272">
              <w:rPr>
                <w:rFonts w:cstheme="minorHAnsi"/>
                <w:b/>
                <w:spacing w:val="-2"/>
                <w:sz w:val="18"/>
                <w:szCs w:val="18"/>
              </w:rPr>
              <w:t>11,507</w:t>
            </w:r>
          </w:p>
        </w:tc>
        <w:tc>
          <w:tcPr>
            <w:tcW w:w="900" w:type="dxa"/>
            <w:tcBorders>
              <w:top w:val="single" w:sz="5" w:space="0" w:color="000000"/>
              <w:left w:val="single" w:sz="5" w:space="0" w:color="000000"/>
              <w:bottom w:val="single" w:sz="5" w:space="0" w:color="000000"/>
              <w:right w:val="single" w:sz="5" w:space="0" w:color="000000"/>
            </w:tcBorders>
          </w:tcPr>
          <w:p w14:paraId="7F4A16B5" w14:textId="2CF73AA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11,515</w:t>
            </w:r>
          </w:p>
        </w:tc>
        <w:tc>
          <w:tcPr>
            <w:tcW w:w="1441" w:type="dxa"/>
            <w:tcBorders>
              <w:top w:val="single" w:sz="5" w:space="0" w:color="000000"/>
              <w:left w:val="single" w:sz="5" w:space="0" w:color="000000"/>
              <w:bottom w:val="single" w:sz="5" w:space="0" w:color="000000"/>
              <w:right w:val="single" w:sz="5" w:space="0" w:color="000000"/>
            </w:tcBorders>
          </w:tcPr>
          <w:p w14:paraId="58561A22"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2"/>
                <w:sz w:val="18"/>
                <w:szCs w:val="18"/>
              </w:rPr>
              <w:t>10,866</w:t>
            </w:r>
          </w:p>
        </w:tc>
      </w:tr>
      <w:tr w:rsidR="00D0634B" w:rsidRPr="00533CC8" w14:paraId="5A017FC6"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7053DAD0" w14:textId="77777777" w:rsidR="00D0634B" w:rsidRPr="00D53272" w:rsidRDefault="00D0634B" w:rsidP="00714E6F">
            <w:pPr>
              <w:pStyle w:val="TableParagraph"/>
              <w:spacing w:before="4"/>
              <w:ind w:left="109"/>
              <w:rPr>
                <w:rFonts w:cstheme="minorHAnsi"/>
                <w:i/>
                <w:spacing w:val="-1"/>
                <w:sz w:val="18"/>
                <w:szCs w:val="18"/>
              </w:rPr>
            </w:pPr>
            <w:r w:rsidRPr="00D53272">
              <w:rPr>
                <w:rFonts w:cstheme="minorHAnsi"/>
                <w:b/>
                <w:spacing w:val="-1"/>
                <w:sz w:val="18"/>
                <w:szCs w:val="18"/>
              </w:rPr>
              <w:t>Homeless</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5BFE3F31"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2,383</w:t>
            </w:r>
          </w:p>
        </w:tc>
        <w:tc>
          <w:tcPr>
            <w:tcW w:w="1080" w:type="dxa"/>
            <w:tcBorders>
              <w:top w:val="single" w:sz="5" w:space="0" w:color="000000"/>
              <w:left w:val="single" w:sz="5" w:space="0" w:color="000000"/>
              <w:bottom w:val="single" w:sz="5" w:space="0" w:color="000000"/>
              <w:right w:val="single" w:sz="5" w:space="0" w:color="000000"/>
            </w:tcBorders>
          </w:tcPr>
          <w:p w14:paraId="43CB2EB7" w14:textId="77777777" w:rsidR="00D0634B" w:rsidRPr="00D53272" w:rsidRDefault="00D0634B" w:rsidP="00714E6F">
            <w:pPr>
              <w:pStyle w:val="TableParagraph"/>
              <w:ind w:left="589"/>
              <w:jc w:val="right"/>
              <w:rPr>
                <w:rFonts w:cstheme="minorHAnsi"/>
                <w:i/>
                <w:w w:val="95"/>
                <w:sz w:val="18"/>
                <w:szCs w:val="18"/>
              </w:rPr>
            </w:pPr>
            <w:r w:rsidRPr="00D53272">
              <w:rPr>
                <w:rFonts w:cstheme="minorHAnsi"/>
                <w:b/>
                <w:spacing w:val="-1"/>
                <w:sz w:val="18"/>
                <w:szCs w:val="18"/>
              </w:rPr>
              <w:t>2,250</w:t>
            </w:r>
          </w:p>
        </w:tc>
        <w:tc>
          <w:tcPr>
            <w:tcW w:w="900" w:type="dxa"/>
            <w:tcBorders>
              <w:top w:val="single" w:sz="5" w:space="0" w:color="000000"/>
              <w:left w:val="single" w:sz="5" w:space="0" w:color="000000"/>
              <w:bottom w:val="single" w:sz="5" w:space="0" w:color="000000"/>
              <w:right w:val="single" w:sz="5" w:space="0" w:color="000000"/>
            </w:tcBorders>
          </w:tcPr>
          <w:p w14:paraId="64CBFC3E" w14:textId="77777777" w:rsidR="00D0634B" w:rsidRPr="00D53272" w:rsidRDefault="00D0634B" w:rsidP="00714E6F">
            <w:pPr>
              <w:pStyle w:val="TableParagraph"/>
              <w:ind w:left="258"/>
              <w:jc w:val="right"/>
              <w:rPr>
                <w:rFonts w:cstheme="minorHAnsi"/>
                <w:i/>
                <w:w w:val="95"/>
                <w:sz w:val="18"/>
                <w:szCs w:val="18"/>
              </w:rPr>
            </w:pPr>
            <w:r w:rsidRPr="00D53272">
              <w:rPr>
                <w:rFonts w:cstheme="minorHAnsi"/>
                <w:b/>
                <w:spacing w:val="-1"/>
                <w:sz w:val="18"/>
                <w:szCs w:val="18"/>
              </w:rPr>
              <w:t>2,383</w:t>
            </w:r>
          </w:p>
        </w:tc>
        <w:tc>
          <w:tcPr>
            <w:tcW w:w="900" w:type="dxa"/>
            <w:tcBorders>
              <w:top w:val="single" w:sz="5" w:space="0" w:color="000000"/>
              <w:left w:val="single" w:sz="5" w:space="0" w:color="000000"/>
              <w:bottom w:val="single" w:sz="5" w:space="0" w:color="000000"/>
              <w:right w:val="single" w:sz="5" w:space="0" w:color="000000"/>
            </w:tcBorders>
          </w:tcPr>
          <w:p w14:paraId="0098C798"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2,456</w:t>
            </w:r>
          </w:p>
        </w:tc>
        <w:tc>
          <w:tcPr>
            <w:tcW w:w="900" w:type="dxa"/>
            <w:tcBorders>
              <w:top w:val="single" w:sz="5" w:space="0" w:color="000000"/>
              <w:left w:val="single" w:sz="5" w:space="0" w:color="000000"/>
              <w:bottom w:val="single" w:sz="5" w:space="0" w:color="000000"/>
              <w:right w:val="single" w:sz="5" w:space="0" w:color="000000"/>
            </w:tcBorders>
          </w:tcPr>
          <w:p w14:paraId="002DC95F" w14:textId="34AEB011"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2,513</w:t>
            </w:r>
          </w:p>
        </w:tc>
        <w:tc>
          <w:tcPr>
            <w:tcW w:w="1441" w:type="dxa"/>
            <w:tcBorders>
              <w:top w:val="single" w:sz="5" w:space="0" w:color="000000"/>
              <w:left w:val="single" w:sz="5" w:space="0" w:color="000000"/>
              <w:bottom w:val="single" w:sz="5" w:space="0" w:color="000000"/>
              <w:right w:val="single" w:sz="5" w:space="0" w:color="000000"/>
            </w:tcBorders>
          </w:tcPr>
          <w:p w14:paraId="7792E8FF"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1"/>
                <w:sz w:val="18"/>
                <w:szCs w:val="18"/>
              </w:rPr>
              <w:t>2,383</w:t>
            </w:r>
          </w:p>
        </w:tc>
      </w:tr>
      <w:tr w:rsidR="00D0634B" w:rsidRPr="00533CC8" w14:paraId="6F67F92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68FAA1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Capital</w:t>
            </w:r>
            <w:r w:rsidRPr="00D53272">
              <w:rPr>
                <w:rFonts w:cstheme="minorHAnsi"/>
                <w:b/>
                <w:spacing w:val="2"/>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507E1CE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1,942</w:t>
            </w:r>
          </w:p>
        </w:tc>
        <w:tc>
          <w:tcPr>
            <w:tcW w:w="1080" w:type="dxa"/>
            <w:tcBorders>
              <w:top w:val="single" w:sz="5" w:space="0" w:color="000000"/>
              <w:left w:val="single" w:sz="5" w:space="0" w:color="000000"/>
              <w:bottom w:val="single" w:sz="5" w:space="0" w:color="000000"/>
              <w:right w:val="single" w:sz="5" w:space="0" w:color="000000"/>
            </w:tcBorders>
          </w:tcPr>
          <w:p w14:paraId="1127F296"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628</w:t>
            </w:r>
          </w:p>
        </w:tc>
        <w:tc>
          <w:tcPr>
            <w:tcW w:w="900" w:type="dxa"/>
            <w:tcBorders>
              <w:top w:val="single" w:sz="5" w:space="0" w:color="000000"/>
              <w:left w:val="single" w:sz="5" w:space="0" w:color="000000"/>
              <w:bottom w:val="single" w:sz="5" w:space="0" w:color="000000"/>
              <w:right w:val="single" w:sz="5" w:space="0" w:color="000000"/>
            </w:tcBorders>
          </w:tcPr>
          <w:p w14:paraId="44921319"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1,850</w:t>
            </w:r>
          </w:p>
        </w:tc>
        <w:tc>
          <w:tcPr>
            <w:tcW w:w="900" w:type="dxa"/>
            <w:tcBorders>
              <w:top w:val="single" w:sz="5" w:space="0" w:color="000000"/>
              <w:left w:val="single" w:sz="5" w:space="0" w:color="000000"/>
              <w:bottom w:val="single" w:sz="5" w:space="0" w:color="000000"/>
              <w:right w:val="single" w:sz="5" w:space="0" w:color="000000"/>
            </w:tcBorders>
          </w:tcPr>
          <w:p w14:paraId="32F37F2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1,945</w:t>
            </w:r>
          </w:p>
        </w:tc>
        <w:tc>
          <w:tcPr>
            <w:tcW w:w="900" w:type="dxa"/>
            <w:tcBorders>
              <w:top w:val="single" w:sz="5" w:space="0" w:color="000000"/>
              <w:left w:val="single" w:sz="5" w:space="0" w:color="000000"/>
              <w:bottom w:val="single" w:sz="5" w:space="0" w:color="000000"/>
              <w:right w:val="single" w:sz="5" w:space="0" w:color="000000"/>
            </w:tcBorders>
          </w:tcPr>
          <w:p w14:paraId="426293B3" w14:textId="27889DDC"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2,750</w:t>
            </w:r>
          </w:p>
        </w:tc>
        <w:tc>
          <w:tcPr>
            <w:tcW w:w="1441" w:type="dxa"/>
            <w:tcBorders>
              <w:top w:val="single" w:sz="5" w:space="0" w:color="000000"/>
              <w:left w:val="single" w:sz="5" w:space="0" w:color="000000"/>
              <w:bottom w:val="single" w:sz="5" w:space="0" w:color="000000"/>
              <w:right w:val="single" w:sz="5" w:space="0" w:color="000000"/>
            </w:tcBorders>
          </w:tcPr>
          <w:p w14:paraId="5AC9164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CD9D79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2CF48A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Operating</w:t>
            </w:r>
            <w:r w:rsidRPr="00D53272">
              <w:rPr>
                <w:rFonts w:cstheme="minorHAnsi"/>
                <w:b/>
                <w:spacing w:val="-4"/>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6524157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4,400</w:t>
            </w:r>
          </w:p>
        </w:tc>
        <w:tc>
          <w:tcPr>
            <w:tcW w:w="1080" w:type="dxa"/>
            <w:tcBorders>
              <w:top w:val="single" w:sz="5" w:space="0" w:color="000000"/>
              <w:left w:val="single" w:sz="5" w:space="0" w:color="000000"/>
              <w:bottom w:val="single" w:sz="5" w:space="0" w:color="000000"/>
              <w:right w:val="single" w:sz="5" w:space="0" w:color="000000"/>
            </w:tcBorders>
          </w:tcPr>
          <w:p w14:paraId="3459A49F"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b/>
                <w:spacing w:val="-1"/>
                <w:sz w:val="18"/>
                <w:szCs w:val="18"/>
              </w:rPr>
              <w:t>3,900</w:t>
            </w:r>
          </w:p>
        </w:tc>
        <w:tc>
          <w:tcPr>
            <w:tcW w:w="900" w:type="dxa"/>
            <w:tcBorders>
              <w:top w:val="single" w:sz="5" w:space="0" w:color="000000"/>
              <w:left w:val="single" w:sz="5" w:space="0" w:color="000000"/>
              <w:bottom w:val="single" w:sz="5" w:space="0" w:color="000000"/>
              <w:right w:val="single" w:sz="5" w:space="0" w:color="000000"/>
            </w:tcBorders>
          </w:tcPr>
          <w:p w14:paraId="6E0D3F6D"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4,400</w:t>
            </w:r>
          </w:p>
        </w:tc>
        <w:tc>
          <w:tcPr>
            <w:tcW w:w="900" w:type="dxa"/>
            <w:tcBorders>
              <w:top w:val="single" w:sz="5" w:space="0" w:color="000000"/>
              <w:left w:val="single" w:sz="5" w:space="0" w:color="000000"/>
              <w:bottom w:val="single" w:sz="5" w:space="0" w:color="000000"/>
              <w:right w:val="single" w:sz="5" w:space="0" w:color="000000"/>
            </w:tcBorders>
          </w:tcPr>
          <w:p w14:paraId="0D47265F"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4,500</w:t>
            </w:r>
          </w:p>
        </w:tc>
        <w:tc>
          <w:tcPr>
            <w:tcW w:w="900" w:type="dxa"/>
            <w:tcBorders>
              <w:top w:val="single" w:sz="5" w:space="0" w:color="000000"/>
              <w:left w:val="single" w:sz="5" w:space="0" w:color="000000"/>
              <w:bottom w:val="single" w:sz="5" w:space="0" w:color="000000"/>
              <w:right w:val="single" w:sz="5" w:space="0" w:color="000000"/>
            </w:tcBorders>
          </w:tcPr>
          <w:p w14:paraId="7D97C208" w14:textId="53844F34"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4,550</w:t>
            </w:r>
          </w:p>
        </w:tc>
        <w:tc>
          <w:tcPr>
            <w:tcW w:w="1441" w:type="dxa"/>
            <w:tcBorders>
              <w:top w:val="single" w:sz="5" w:space="0" w:color="000000"/>
              <w:left w:val="single" w:sz="5" w:space="0" w:color="000000"/>
              <w:bottom w:val="single" w:sz="5" w:space="0" w:color="000000"/>
              <w:right w:val="single" w:sz="5" w:space="0" w:color="000000"/>
            </w:tcBorders>
          </w:tcPr>
          <w:p w14:paraId="41FB9D99"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b/>
                <w:spacing w:val="-1"/>
                <w:sz w:val="18"/>
                <w:szCs w:val="18"/>
              </w:rPr>
              <w:t>2,841</w:t>
            </w:r>
          </w:p>
        </w:tc>
      </w:tr>
      <w:tr w:rsidR="00D0634B" w:rsidRPr="00533CC8" w14:paraId="15D3E828"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C31847D"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Choice</w:t>
            </w:r>
            <w:r w:rsidRPr="00D53272">
              <w:rPr>
                <w:rFonts w:cstheme="minorHAnsi"/>
                <w:b/>
                <w:spacing w:val="3"/>
                <w:sz w:val="18"/>
                <w:szCs w:val="18"/>
              </w:rPr>
              <w:t xml:space="preserve"> </w:t>
            </w:r>
            <w:r w:rsidRPr="00D53272">
              <w:rPr>
                <w:rFonts w:cstheme="minorHAnsi"/>
                <w:b/>
                <w:spacing w:val="-2"/>
                <w:sz w:val="18"/>
                <w:szCs w:val="18"/>
              </w:rPr>
              <w:t>Neighborhoods</w:t>
            </w:r>
            <w:r w:rsidRPr="00D53272">
              <w:rPr>
                <w:rFonts w:cstheme="minorHAnsi"/>
                <w:b/>
                <w:spacing w:val="3"/>
                <w:sz w:val="18"/>
                <w:szCs w:val="18"/>
              </w:rPr>
              <w:t xml:space="preserve"> </w:t>
            </w:r>
            <w:r w:rsidRPr="00D53272">
              <w:rPr>
                <w:rFonts w:cstheme="minorHAnsi"/>
                <w:b/>
                <w:spacing w:val="-1"/>
                <w:sz w:val="18"/>
                <w:szCs w:val="18"/>
              </w:rPr>
              <w:t>Initiative</w:t>
            </w:r>
          </w:p>
        </w:tc>
        <w:tc>
          <w:tcPr>
            <w:tcW w:w="990" w:type="dxa"/>
            <w:tcBorders>
              <w:top w:val="single" w:sz="5" w:space="0" w:color="000000"/>
              <w:left w:val="single" w:sz="5" w:space="0" w:color="000000"/>
              <w:bottom w:val="single" w:sz="5" w:space="0" w:color="000000"/>
              <w:right w:val="single" w:sz="5" w:space="0" w:color="000000"/>
            </w:tcBorders>
          </w:tcPr>
          <w:p w14:paraId="12B4A35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138</w:t>
            </w:r>
          </w:p>
        </w:tc>
        <w:tc>
          <w:tcPr>
            <w:tcW w:w="1080" w:type="dxa"/>
            <w:tcBorders>
              <w:top w:val="single" w:sz="5" w:space="0" w:color="000000"/>
              <w:left w:val="single" w:sz="5" w:space="0" w:color="000000"/>
              <w:bottom w:val="single" w:sz="5" w:space="0" w:color="000000"/>
              <w:right w:val="single" w:sz="5" w:space="0" w:color="000000"/>
            </w:tcBorders>
          </w:tcPr>
          <w:p w14:paraId="36EA80FE"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5D6361F2"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48B15A4E"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50</w:t>
            </w:r>
          </w:p>
        </w:tc>
        <w:tc>
          <w:tcPr>
            <w:tcW w:w="900" w:type="dxa"/>
            <w:tcBorders>
              <w:top w:val="single" w:sz="5" w:space="0" w:color="000000"/>
              <w:left w:val="single" w:sz="5" w:space="0" w:color="000000"/>
              <w:bottom w:val="single" w:sz="5" w:space="0" w:color="000000"/>
              <w:right w:val="single" w:sz="5" w:space="0" w:color="000000"/>
            </w:tcBorders>
          </w:tcPr>
          <w:p w14:paraId="56E2308F" w14:textId="73CCE9E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150</w:t>
            </w:r>
          </w:p>
        </w:tc>
        <w:tc>
          <w:tcPr>
            <w:tcW w:w="1441" w:type="dxa"/>
            <w:tcBorders>
              <w:top w:val="single" w:sz="5" w:space="0" w:color="000000"/>
              <w:left w:val="single" w:sz="5" w:space="0" w:color="000000"/>
              <w:bottom w:val="single" w:sz="5" w:space="0" w:color="000000"/>
              <w:right w:val="single" w:sz="5" w:space="0" w:color="000000"/>
            </w:tcBorders>
          </w:tcPr>
          <w:p w14:paraId="3E6DD01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EC66CBF"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D7E010C"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Family</w:t>
            </w:r>
            <w:r w:rsidRPr="00D53272">
              <w:rPr>
                <w:rFonts w:cstheme="minorHAnsi"/>
                <w:b/>
                <w:spacing w:val="-7"/>
                <w:sz w:val="18"/>
                <w:szCs w:val="18"/>
              </w:rPr>
              <w:t xml:space="preserve"> </w:t>
            </w:r>
            <w:r w:rsidRPr="00D53272">
              <w:rPr>
                <w:rFonts w:cstheme="minorHAnsi"/>
                <w:b/>
                <w:spacing w:val="1"/>
                <w:sz w:val="18"/>
                <w:szCs w:val="18"/>
              </w:rPr>
              <w:t>Self</w:t>
            </w:r>
            <w:r w:rsidRPr="00D53272">
              <w:rPr>
                <w:rFonts w:cstheme="minorHAnsi"/>
                <w:b/>
                <w:spacing w:val="-6"/>
                <w:sz w:val="18"/>
                <w:szCs w:val="18"/>
              </w:rPr>
              <w:t xml:space="preserve"> </w:t>
            </w:r>
            <w:r w:rsidRPr="00D53272">
              <w:rPr>
                <w:rFonts w:cstheme="minorHAnsi"/>
                <w:b/>
                <w:spacing w:val="-1"/>
                <w:sz w:val="18"/>
                <w:szCs w:val="18"/>
              </w:rPr>
              <w:t>Sufficiency</w:t>
            </w:r>
          </w:p>
        </w:tc>
        <w:tc>
          <w:tcPr>
            <w:tcW w:w="990" w:type="dxa"/>
            <w:tcBorders>
              <w:top w:val="single" w:sz="5" w:space="0" w:color="000000"/>
              <w:left w:val="single" w:sz="5" w:space="0" w:color="000000"/>
              <w:bottom w:val="single" w:sz="5" w:space="0" w:color="000000"/>
              <w:right w:val="single" w:sz="5" w:space="0" w:color="000000"/>
            </w:tcBorders>
          </w:tcPr>
          <w:p w14:paraId="65FB243D"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b/>
                <w:spacing w:val="-3"/>
                <w:sz w:val="18"/>
                <w:szCs w:val="18"/>
              </w:rPr>
              <w:t>75</w:t>
            </w:r>
          </w:p>
        </w:tc>
        <w:tc>
          <w:tcPr>
            <w:tcW w:w="1080" w:type="dxa"/>
            <w:tcBorders>
              <w:top w:val="single" w:sz="5" w:space="0" w:color="000000"/>
              <w:left w:val="single" w:sz="5" w:space="0" w:color="000000"/>
              <w:bottom w:val="single" w:sz="5" w:space="0" w:color="000000"/>
              <w:right w:val="single" w:sz="5" w:space="0" w:color="000000"/>
            </w:tcBorders>
          </w:tcPr>
          <w:p w14:paraId="6EAA342A"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2A020B4"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24134D2B"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38431CE" w14:textId="3B073769"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75</w:t>
            </w:r>
          </w:p>
        </w:tc>
        <w:tc>
          <w:tcPr>
            <w:tcW w:w="1441" w:type="dxa"/>
            <w:tcBorders>
              <w:top w:val="single" w:sz="5" w:space="0" w:color="000000"/>
              <w:left w:val="single" w:sz="5" w:space="0" w:color="000000"/>
              <w:bottom w:val="single" w:sz="5" w:space="0" w:color="000000"/>
              <w:right w:val="single" w:sz="5" w:space="0" w:color="000000"/>
            </w:tcBorders>
          </w:tcPr>
          <w:p w14:paraId="517774BE"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r>
      <w:tr w:rsidR="00D0634B" w:rsidRPr="00533CC8" w14:paraId="45128EDC" w14:textId="77777777" w:rsidTr="00834217">
        <w:trPr>
          <w:trHeight w:hRule="exact" w:val="307"/>
          <w:jc w:val="center"/>
        </w:trPr>
        <w:tc>
          <w:tcPr>
            <w:tcW w:w="4858" w:type="dxa"/>
            <w:tcBorders>
              <w:top w:val="single" w:sz="5" w:space="0" w:color="000000"/>
              <w:left w:val="single" w:sz="5" w:space="0" w:color="000000"/>
              <w:bottom w:val="single" w:sz="5" w:space="0" w:color="000000"/>
              <w:right w:val="single" w:sz="5" w:space="0" w:color="000000"/>
            </w:tcBorders>
          </w:tcPr>
          <w:p w14:paraId="4D46BF6A"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HOPWA</w:t>
            </w:r>
          </w:p>
        </w:tc>
        <w:tc>
          <w:tcPr>
            <w:tcW w:w="990" w:type="dxa"/>
            <w:tcBorders>
              <w:top w:val="single" w:sz="5" w:space="0" w:color="000000"/>
              <w:left w:val="single" w:sz="5" w:space="0" w:color="000000"/>
              <w:bottom w:val="single" w:sz="5" w:space="0" w:color="000000"/>
              <w:right w:val="single" w:sz="5" w:space="0" w:color="000000"/>
            </w:tcBorders>
          </w:tcPr>
          <w:p w14:paraId="2E2A323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356</w:t>
            </w:r>
          </w:p>
        </w:tc>
        <w:tc>
          <w:tcPr>
            <w:tcW w:w="1080" w:type="dxa"/>
            <w:tcBorders>
              <w:top w:val="single" w:sz="5" w:space="0" w:color="000000"/>
              <w:left w:val="single" w:sz="5" w:space="0" w:color="000000"/>
              <w:bottom w:val="single" w:sz="5" w:space="0" w:color="000000"/>
              <w:right w:val="single" w:sz="5" w:space="0" w:color="000000"/>
            </w:tcBorders>
          </w:tcPr>
          <w:p w14:paraId="23D5CA6A"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5BC31B33"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356</w:t>
            </w:r>
          </w:p>
        </w:tc>
        <w:tc>
          <w:tcPr>
            <w:tcW w:w="900" w:type="dxa"/>
            <w:tcBorders>
              <w:top w:val="single" w:sz="5" w:space="0" w:color="000000"/>
              <w:left w:val="single" w:sz="5" w:space="0" w:color="000000"/>
              <w:bottom w:val="single" w:sz="5" w:space="0" w:color="000000"/>
              <w:right w:val="single" w:sz="5" w:space="0" w:color="000000"/>
            </w:tcBorders>
          </w:tcPr>
          <w:p w14:paraId="66F7536F"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3948B658" w14:textId="2EA3E45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375</w:t>
            </w:r>
          </w:p>
        </w:tc>
        <w:tc>
          <w:tcPr>
            <w:tcW w:w="1441" w:type="dxa"/>
            <w:tcBorders>
              <w:top w:val="single" w:sz="5" w:space="0" w:color="000000"/>
              <w:left w:val="single" w:sz="5" w:space="0" w:color="000000"/>
              <w:bottom w:val="single" w:sz="5" w:space="0" w:color="000000"/>
              <w:right w:val="single" w:sz="5" w:space="0" w:color="000000"/>
            </w:tcBorders>
          </w:tcPr>
          <w:p w14:paraId="358832D3"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330</w:t>
            </w:r>
          </w:p>
        </w:tc>
      </w:tr>
      <w:tr w:rsidR="00D0634B" w:rsidRPr="00533CC8" w14:paraId="30FE599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3FF6F53"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Community</w:t>
            </w:r>
            <w:r w:rsidRPr="00D53272">
              <w:rPr>
                <w:rFonts w:cstheme="minorHAnsi"/>
                <w:b/>
                <w:spacing w:val="-2"/>
                <w:sz w:val="18"/>
                <w:szCs w:val="18"/>
              </w:rPr>
              <w:t xml:space="preserve"> </w:t>
            </w:r>
            <w:r w:rsidRPr="00D53272">
              <w:rPr>
                <w:rFonts w:cstheme="minorHAnsi"/>
                <w:b/>
                <w:spacing w:val="-1"/>
                <w:sz w:val="18"/>
                <w:szCs w:val="18"/>
              </w:rPr>
              <w:t>Development Fund</w:t>
            </w:r>
          </w:p>
        </w:tc>
        <w:tc>
          <w:tcPr>
            <w:tcW w:w="990" w:type="dxa"/>
            <w:tcBorders>
              <w:top w:val="single" w:sz="5" w:space="0" w:color="000000"/>
              <w:left w:val="single" w:sz="5" w:space="0" w:color="000000"/>
              <w:bottom w:val="single" w:sz="5" w:space="0" w:color="000000"/>
              <w:right w:val="single" w:sz="5" w:space="0" w:color="000000"/>
            </w:tcBorders>
          </w:tcPr>
          <w:p w14:paraId="295EC874"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3,060</w:t>
            </w:r>
          </w:p>
        </w:tc>
        <w:tc>
          <w:tcPr>
            <w:tcW w:w="1080" w:type="dxa"/>
            <w:tcBorders>
              <w:top w:val="single" w:sz="5" w:space="0" w:color="000000"/>
              <w:left w:val="single" w:sz="5" w:space="0" w:color="000000"/>
              <w:bottom w:val="single" w:sz="5" w:space="0" w:color="000000"/>
              <w:right w:val="single" w:sz="5" w:space="0" w:color="000000"/>
            </w:tcBorders>
          </w:tcPr>
          <w:p w14:paraId="343CC30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A121EC3"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2,960</w:t>
            </w:r>
          </w:p>
        </w:tc>
        <w:tc>
          <w:tcPr>
            <w:tcW w:w="900" w:type="dxa"/>
            <w:tcBorders>
              <w:top w:val="single" w:sz="5" w:space="0" w:color="000000"/>
              <w:left w:val="single" w:sz="5" w:space="0" w:color="000000"/>
              <w:bottom w:val="single" w:sz="5" w:space="0" w:color="000000"/>
              <w:right w:val="single" w:sz="5" w:space="0" w:color="000000"/>
            </w:tcBorders>
          </w:tcPr>
          <w:p w14:paraId="4432DC0E"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3,060</w:t>
            </w:r>
          </w:p>
        </w:tc>
        <w:tc>
          <w:tcPr>
            <w:tcW w:w="900" w:type="dxa"/>
            <w:tcBorders>
              <w:top w:val="single" w:sz="5" w:space="0" w:color="000000"/>
              <w:left w:val="single" w:sz="5" w:space="0" w:color="000000"/>
              <w:bottom w:val="single" w:sz="5" w:space="0" w:color="000000"/>
              <w:right w:val="single" w:sz="5" w:space="0" w:color="000000"/>
            </w:tcBorders>
          </w:tcPr>
          <w:p w14:paraId="6E30EE48" w14:textId="50D8F1F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3,365</w:t>
            </w:r>
          </w:p>
        </w:tc>
        <w:tc>
          <w:tcPr>
            <w:tcW w:w="1441" w:type="dxa"/>
            <w:tcBorders>
              <w:top w:val="single" w:sz="5" w:space="0" w:color="000000"/>
              <w:left w:val="single" w:sz="5" w:space="0" w:color="000000"/>
              <w:bottom w:val="single" w:sz="5" w:space="0" w:color="000000"/>
              <w:right w:val="single" w:sz="5" w:space="0" w:color="000000"/>
            </w:tcBorders>
          </w:tcPr>
          <w:p w14:paraId="6632414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39C92D4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8C0D7AB"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CDBG</w:t>
            </w:r>
            <w:r w:rsidRPr="00D53272">
              <w:rPr>
                <w:rFonts w:cstheme="minorHAnsi"/>
                <w:i/>
                <w:spacing w:val="2"/>
                <w:sz w:val="18"/>
                <w:szCs w:val="18"/>
              </w:rPr>
              <w:t xml:space="preserve"> </w:t>
            </w:r>
            <w:r w:rsidRPr="00D53272">
              <w:rPr>
                <w:rFonts w:cstheme="minorHAnsi"/>
                <w:i/>
                <w:spacing w:val="-1"/>
                <w:sz w:val="18"/>
                <w:szCs w:val="18"/>
              </w:rPr>
              <w:t>Formula</w:t>
            </w:r>
            <w:r w:rsidRPr="00D53272">
              <w:rPr>
                <w:rFonts w:cstheme="minorHAnsi"/>
                <w:i/>
                <w:spacing w:val="3"/>
                <w:sz w:val="18"/>
                <w:szCs w:val="18"/>
              </w:rPr>
              <w:t xml:space="preserve"> </w:t>
            </w:r>
            <w:r w:rsidRPr="00D53272">
              <w:rPr>
                <w:rFonts w:cstheme="minorHAnsi"/>
                <w:i/>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091E89B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3,000</w:t>
            </w:r>
          </w:p>
        </w:tc>
        <w:tc>
          <w:tcPr>
            <w:tcW w:w="1080" w:type="dxa"/>
            <w:tcBorders>
              <w:top w:val="single" w:sz="5" w:space="0" w:color="000000"/>
              <w:left w:val="single" w:sz="5" w:space="0" w:color="000000"/>
              <w:bottom w:val="single" w:sz="5" w:space="0" w:color="000000"/>
              <w:right w:val="single" w:sz="5" w:space="0" w:color="000000"/>
            </w:tcBorders>
          </w:tcPr>
          <w:p w14:paraId="7396466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6719146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2,900</w:t>
            </w:r>
          </w:p>
        </w:tc>
        <w:tc>
          <w:tcPr>
            <w:tcW w:w="900" w:type="dxa"/>
            <w:tcBorders>
              <w:top w:val="single" w:sz="5" w:space="0" w:color="000000"/>
              <w:left w:val="single" w:sz="5" w:space="0" w:color="000000"/>
              <w:bottom w:val="single" w:sz="5" w:space="0" w:color="000000"/>
              <w:right w:val="single" w:sz="5" w:space="0" w:color="000000"/>
            </w:tcBorders>
          </w:tcPr>
          <w:p w14:paraId="4831561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3,000</w:t>
            </w:r>
          </w:p>
        </w:tc>
        <w:tc>
          <w:tcPr>
            <w:tcW w:w="900" w:type="dxa"/>
            <w:tcBorders>
              <w:top w:val="single" w:sz="5" w:space="0" w:color="000000"/>
              <w:left w:val="single" w:sz="5" w:space="0" w:color="000000"/>
              <w:bottom w:val="single" w:sz="5" w:space="0" w:color="000000"/>
              <w:right w:val="single" w:sz="5" w:space="0" w:color="000000"/>
            </w:tcBorders>
          </w:tcPr>
          <w:p w14:paraId="27BF940F" w14:textId="15EF2EB4" w:rsidR="00D0634B" w:rsidRPr="00D53272" w:rsidRDefault="0095339E" w:rsidP="0095339E">
            <w:pPr>
              <w:pStyle w:val="TableParagraph"/>
              <w:ind w:left="258"/>
              <w:jc w:val="right"/>
              <w:rPr>
                <w:rFonts w:cstheme="minorHAnsi"/>
                <w:sz w:val="18"/>
                <w:szCs w:val="18"/>
              </w:rPr>
            </w:pPr>
            <w:r w:rsidRPr="0095339E">
              <w:rPr>
                <w:rFonts w:cstheme="minorHAnsi"/>
                <w:i/>
                <w:sz w:val="18"/>
                <w:szCs w:val="18"/>
              </w:rPr>
              <w:t>3,300</w:t>
            </w:r>
          </w:p>
        </w:tc>
        <w:tc>
          <w:tcPr>
            <w:tcW w:w="1441" w:type="dxa"/>
            <w:tcBorders>
              <w:top w:val="single" w:sz="5" w:space="0" w:color="000000"/>
              <w:left w:val="single" w:sz="5" w:space="0" w:color="000000"/>
              <w:bottom w:val="single" w:sz="5" w:space="0" w:color="000000"/>
              <w:right w:val="single" w:sz="5" w:space="0" w:color="000000"/>
            </w:tcBorders>
          </w:tcPr>
          <w:p w14:paraId="7B9FBAA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4460D3FB" w14:textId="77777777" w:rsidTr="00834217">
        <w:trPr>
          <w:trHeight w:hRule="exact" w:val="298"/>
          <w:jc w:val="center"/>
        </w:trPr>
        <w:tc>
          <w:tcPr>
            <w:tcW w:w="4858" w:type="dxa"/>
            <w:tcBorders>
              <w:top w:val="single" w:sz="5" w:space="0" w:color="000000"/>
              <w:left w:val="single" w:sz="5" w:space="0" w:color="000000"/>
              <w:bottom w:val="single" w:sz="5" w:space="0" w:color="000000"/>
              <w:right w:val="single" w:sz="5" w:space="0" w:color="000000"/>
            </w:tcBorders>
          </w:tcPr>
          <w:p w14:paraId="75DBD47C"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HOME</w:t>
            </w:r>
            <w:r w:rsidRPr="00D53272">
              <w:rPr>
                <w:rFonts w:cstheme="minorHAnsi"/>
                <w:b/>
                <w:spacing w:val="2"/>
                <w:sz w:val="18"/>
                <w:szCs w:val="18"/>
              </w:rPr>
              <w:t xml:space="preserve"> </w:t>
            </w:r>
            <w:r w:rsidRPr="00D53272">
              <w:rPr>
                <w:rFonts w:cstheme="minorHAnsi"/>
                <w:b/>
                <w:spacing w:val="-1"/>
                <w:sz w:val="18"/>
                <w:szCs w:val="18"/>
              </w:rPr>
              <w:t>Investment Partnerships</w:t>
            </w:r>
          </w:p>
        </w:tc>
        <w:tc>
          <w:tcPr>
            <w:tcW w:w="990" w:type="dxa"/>
            <w:tcBorders>
              <w:top w:val="single" w:sz="5" w:space="0" w:color="000000"/>
              <w:left w:val="single" w:sz="5" w:space="0" w:color="000000"/>
              <w:bottom w:val="single" w:sz="5" w:space="0" w:color="000000"/>
              <w:right w:val="single" w:sz="5" w:space="0" w:color="000000"/>
            </w:tcBorders>
          </w:tcPr>
          <w:p w14:paraId="0D73A05F"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950</w:t>
            </w:r>
          </w:p>
        </w:tc>
        <w:tc>
          <w:tcPr>
            <w:tcW w:w="1080" w:type="dxa"/>
            <w:tcBorders>
              <w:top w:val="single" w:sz="5" w:space="0" w:color="000000"/>
              <w:left w:val="single" w:sz="5" w:space="0" w:color="000000"/>
              <w:bottom w:val="single" w:sz="5" w:space="0" w:color="000000"/>
              <w:right w:val="single" w:sz="5" w:space="0" w:color="000000"/>
            </w:tcBorders>
          </w:tcPr>
          <w:p w14:paraId="27DC11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0A32B7A"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850</w:t>
            </w:r>
          </w:p>
        </w:tc>
        <w:tc>
          <w:tcPr>
            <w:tcW w:w="900" w:type="dxa"/>
            <w:tcBorders>
              <w:top w:val="single" w:sz="5" w:space="0" w:color="000000"/>
              <w:left w:val="single" w:sz="5" w:space="0" w:color="000000"/>
              <w:bottom w:val="single" w:sz="5" w:space="0" w:color="000000"/>
              <w:right w:val="single" w:sz="5" w:space="0" w:color="000000"/>
            </w:tcBorders>
          </w:tcPr>
          <w:p w14:paraId="4EC7D0E5"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950</w:t>
            </w:r>
          </w:p>
        </w:tc>
        <w:tc>
          <w:tcPr>
            <w:tcW w:w="900" w:type="dxa"/>
            <w:tcBorders>
              <w:top w:val="single" w:sz="5" w:space="0" w:color="000000"/>
              <w:left w:val="single" w:sz="5" w:space="0" w:color="000000"/>
              <w:bottom w:val="single" w:sz="5" w:space="0" w:color="000000"/>
              <w:right w:val="single" w:sz="5" w:space="0" w:color="000000"/>
            </w:tcBorders>
          </w:tcPr>
          <w:p w14:paraId="62A5B868" w14:textId="09635C0A" w:rsidR="00D0634B" w:rsidRPr="0095339E" w:rsidRDefault="0095339E" w:rsidP="0095339E">
            <w:pPr>
              <w:pStyle w:val="TableParagraph"/>
              <w:ind w:left="440"/>
              <w:jc w:val="right"/>
              <w:rPr>
                <w:rFonts w:cstheme="minorHAnsi"/>
                <w:b/>
                <w:spacing w:val="-3"/>
                <w:sz w:val="18"/>
                <w:szCs w:val="18"/>
              </w:rPr>
            </w:pPr>
            <w:r w:rsidRPr="0095339E">
              <w:rPr>
                <w:rFonts w:cstheme="minorHAnsi"/>
                <w:b/>
                <w:spacing w:val="-3"/>
                <w:sz w:val="18"/>
                <w:szCs w:val="18"/>
              </w:rPr>
              <w:t>1,362</w:t>
            </w:r>
          </w:p>
        </w:tc>
        <w:tc>
          <w:tcPr>
            <w:tcW w:w="1441" w:type="dxa"/>
            <w:tcBorders>
              <w:top w:val="single" w:sz="5" w:space="0" w:color="000000"/>
              <w:left w:val="single" w:sz="5" w:space="0" w:color="000000"/>
              <w:bottom w:val="single" w:sz="5" w:space="0" w:color="000000"/>
              <w:right w:val="single" w:sz="5" w:space="0" w:color="000000"/>
            </w:tcBorders>
          </w:tcPr>
          <w:p w14:paraId="0AA0581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0BE06DF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1B12BA9"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Demonstration</w:t>
            </w:r>
          </w:p>
        </w:tc>
        <w:tc>
          <w:tcPr>
            <w:tcW w:w="990" w:type="dxa"/>
            <w:tcBorders>
              <w:top w:val="single" w:sz="5" w:space="0" w:color="000000"/>
              <w:left w:val="single" w:sz="5" w:space="0" w:color="000000"/>
              <w:bottom w:val="single" w:sz="5" w:space="0" w:color="000000"/>
              <w:right w:val="single" w:sz="5" w:space="0" w:color="000000"/>
            </w:tcBorders>
          </w:tcPr>
          <w:p w14:paraId="14E4C65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1080" w:type="dxa"/>
            <w:tcBorders>
              <w:top w:val="single" w:sz="5" w:space="0" w:color="000000"/>
              <w:left w:val="single" w:sz="5" w:space="0" w:color="000000"/>
              <w:bottom w:val="single" w:sz="5" w:space="0" w:color="000000"/>
              <w:right w:val="single" w:sz="5" w:space="0" w:color="000000"/>
            </w:tcBorders>
          </w:tcPr>
          <w:p w14:paraId="2798D5B0"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D4A869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F1B58C1"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4</w:t>
            </w:r>
          </w:p>
        </w:tc>
        <w:tc>
          <w:tcPr>
            <w:tcW w:w="900" w:type="dxa"/>
            <w:tcBorders>
              <w:top w:val="single" w:sz="5" w:space="0" w:color="000000"/>
              <w:left w:val="single" w:sz="5" w:space="0" w:color="000000"/>
              <w:bottom w:val="single" w:sz="5" w:space="0" w:color="000000"/>
              <w:right w:val="single" w:sz="5" w:space="0" w:color="000000"/>
            </w:tcBorders>
          </w:tcPr>
          <w:p w14:paraId="7728B987" w14:textId="43CE9465" w:rsidR="00D0634B" w:rsidRPr="00D53272" w:rsidRDefault="0095339E" w:rsidP="0095339E">
            <w:pPr>
              <w:pStyle w:val="TableParagraph"/>
              <w:ind w:right="167"/>
              <w:jc w:val="right"/>
              <w:rPr>
                <w:rFonts w:cstheme="minorHAnsi"/>
                <w:sz w:val="18"/>
                <w:szCs w:val="18"/>
              </w:rPr>
            </w:pPr>
            <w:r w:rsidRPr="0095339E">
              <w:rPr>
                <w:rFonts w:cstheme="minorHAnsi"/>
                <w:b/>
                <w:w w:val="95"/>
                <w:sz w:val="18"/>
                <w:szCs w:val="18"/>
              </w:rPr>
              <w:t>0</w:t>
            </w:r>
          </w:p>
        </w:tc>
        <w:tc>
          <w:tcPr>
            <w:tcW w:w="1441" w:type="dxa"/>
            <w:tcBorders>
              <w:top w:val="single" w:sz="5" w:space="0" w:color="000000"/>
              <w:left w:val="single" w:sz="5" w:space="0" w:color="000000"/>
              <w:bottom w:val="single" w:sz="5" w:space="0" w:color="000000"/>
              <w:right w:val="single" w:sz="5" w:space="0" w:color="000000"/>
            </w:tcBorders>
          </w:tcPr>
          <w:p w14:paraId="706272F1"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100</w:t>
            </w:r>
          </w:p>
        </w:tc>
      </w:tr>
    </w:tbl>
    <w:p w14:paraId="52061A58" w14:textId="77777777" w:rsidR="001C68DB" w:rsidRPr="00197F58" w:rsidRDefault="001C68DB" w:rsidP="001C68DB">
      <w:pPr>
        <w:spacing w:after="0" w:line="240" w:lineRule="auto"/>
        <w:contextualSpacing/>
        <w:rPr>
          <w:rFonts w:eastAsia="Times New Roman" w:cstheme="minorHAnsi"/>
          <w:color w:val="000000"/>
          <w:sz w:val="10"/>
          <w:szCs w:val="10"/>
        </w:rPr>
      </w:pPr>
    </w:p>
    <w:p w14:paraId="6D29ED3C" w14:textId="0AE450D8" w:rsidR="00197F58" w:rsidRPr="00A72B65" w:rsidRDefault="00197F58" w:rsidP="001C68DB">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rPr>
        <w:t>Per CBPP, the President’s FY 19 budget’s effect on Maine would be as follows:</w:t>
      </w:r>
    </w:p>
    <w:tbl>
      <w:tblPr>
        <w:tblStyle w:val="TableGrid"/>
        <w:tblW w:w="0" w:type="auto"/>
        <w:tblLook w:val="04A0" w:firstRow="1" w:lastRow="0" w:firstColumn="1" w:lastColumn="0" w:noHBand="0" w:noVBand="1"/>
      </w:tblPr>
      <w:tblGrid>
        <w:gridCol w:w="3145"/>
        <w:gridCol w:w="2970"/>
        <w:gridCol w:w="2250"/>
        <w:gridCol w:w="2137"/>
      </w:tblGrid>
      <w:tr w:rsidR="00197F58" w14:paraId="488A6B18" w14:textId="77777777" w:rsidTr="00197F58">
        <w:tc>
          <w:tcPr>
            <w:tcW w:w="3145" w:type="dxa"/>
          </w:tcPr>
          <w:p w14:paraId="5E9188D2" w14:textId="63DC2EEB"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Housing Choice Vouchers cut</w:t>
            </w:r>
          </w:p>
        </w:tc>
        <w:tc>
          <w:tcPr>
            <w:tcW w:w="2970" w:type="dxa"/>
          </w:tcPr>
          <w:p w14:paraId="103AB603" w14:textId="5910292F"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Public Housing funding cut</w:t>
            </w:r>
          </w:p>
        </w:tc>
        <w:tc>
          <w:tcPr>
            <w:tcW w:w="2250" w:type="dxa"/>
          </w:tcPr>
          <w:p w14:paraId="37653CC6" w14:textId="02F016C5"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HOME funding cut</w:t>
            </w:r>
          </w:p>
        </w:tc>
        <w:tc>
          <w:tcPr>
            <w:tcW w:w="2137" w:type="dxa"/>
          </w:tcPr>
          <w:p w14:paraId="41D94DCC" w14:textId="218B6B59"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CDBG funding cut</w:t>
            </w:r>
          </w:p>
        </w:tc>
      </w:tr>
      <w:tr w:rsidR="00197F58" w14:paraId="2A411883" w14:textId="77777777" w:rsidTr="00197F58">
        <w:tc>
          <w:tcPr>
            <w:tcW w:w="3145" w:type="dxa"/>
          </w:tcPr>
          <w:p w14:paraId="013B4559" w14:textId="568C9825"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-1,100</w:t>
            </w:r>
          </w:p>
        </w:tc>
        <w:tc>
          <w:tcPr>
            <w:tcW w:w="2970" w:type="dxa"/>
          </w:tcPr>
          <w:p w14:paraId="59E021B3" w14:textId="5B3C0A63"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-$9,968,681</w:t>
            </w:r>
          </w:p>
        </w:tc>
        <w:tc>
          <w:tcPr>
            <w:tcW w:w="2250" w:type="dxa"/>
          </w:tcPr>
          <w:p w14:paraId="0679BCFA" w14:textId="1965087C"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-$4,247,302</w:t>
            </w:r>
          </w:p>
        </w:tc>
        <w:tc>
          <w:tcPr>
            <w:tcW w:w="2137" w:type="dxa"/>
          </w:tcPr>
          <w:p w14:paraId="075385CF" w14:textId="4A6CA59A"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-$16,257,573</w:t>
            </w:r>
          </w:p>
        </w:tc>
      </w:tr>
    </w:tbl>
    <w:p w14:paraId="73FE2BD5" w14:textId="77777777" w:rsidR="00197F58" w:rsidRPr="00D53272" w:rsidRDefault="00197F58" w:rsidP="001C68DB">
      <w:pPr>
        <w:spacing w:after="0" w:line="240" w:lineRule="auto"/>
        <w:contextualSpacing/>
        <w:rPr>
          <w:rFonts w:eastAsia="Times New Roman" w:cstheme="minorHAnsi"/>
          <w:color w:val="000000"/>
          <w:sz w:val="6"/>
          <w:szCs w:val="6"/>
        </w:rPr>
      </w:pPr>
    </w:p>
    <w:p w14:paraId="2C646A2A" w14:textId="26FDAEDC" w:rsidR="001C68DB" w:rsidRPr="00A72B65" w:rsidRDefault="001C68DB" w:rsidP="001C68DB">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rPr>
        <w:t>Additionally, according to CBPP the budget:</w:t>
      </w:r>
    </w:p>
    <w:p w14:paraId="2349871B" w14:textId="35E5E27E" w:rsidR="001C68DB" w:rsidRPr="00A72B65" w:rsidRDefault="001C68D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Repeals the Affordable Care Act’s coverage expansions and gouges Medicaid deeply on top of that;</w:t>
      </w:r>
    </w:p>
    <w:p w14:paraId="361C89FE" w14:textId="2D5D7A96" w:rsidR="00216786" w:rsidRPr="00A72B65" w:rsidRDefault="001C68D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Contains deep cuts in basic nutrition, housing, and income assistance for millions of Americans bel</w:t>
      </w:r>
      <w:r w:rsidR="005E0AC7">
        <w:rPr>
          <w:rFonts w:eastAsia="Times New Roman" w:cstheme="minorHAnsi"/>
          <w:sz w:val="21"/>
          <w:szCs w:val="21"/>
        </w:rPr>
        <w:t>ow or close to the poverty line</w:t>
      </w:r>
      <w:r w:rsidR="00D0634B" w:rsidRPr="00A72B65">
        <w:rPr>
          <w:rFonts w:eastAsia="Times New Roman" w:cstheme="minorHAnsi"/>
          <w:sz w:val="21"/>
          <w:szCs w:val="21"/>
        </w:rPr>
        <w:t>; and</w:t>
      </w:r>
    </w:p>
    <w:p w14:paraId="2AAC8AE5" w14:textId="5E4D9CBC" w:rsidR="00D0634B" w:rsidRPr="00A72B65" w:rsidRDefault="00D0634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Eliminate funding for the National Housing Trust Fund</w:t>
      </w:r>
    </w:p>
    <w:p w14:paraId="54062A0A" w14:textId="113ABE8A" w:rsidR="00C02D6A" w:rsidRPr="00A72B65" w:rsidRDefault="005B3EE4" w:rsidP="00FA4725">
      <w:pPr>
        <w:spacing w:after="0" w:line="240" w:lineRule="auto"/>
        <w:contextualSpacing/>
        <w:rPr>
          <w:rFonts w:eastAsia="Times New Roman" w:cstheme="minorHAnsi"/>
          <w:color w:val="000000"/>
          <w:sz w:val="21"/>
          <w:szCs w:val="21"/>
        </w:rPr>
      </w:pPr>
      <w:r w:rsidRPr="00A72B65">
        <w:rPr>
          <w:rFonts w:eastAsia="Times New Roman" w:cstheme="minorHAnsi"/>
          <w:b/>
          <w:color w:val="000000"/>
          <w:sz w:val="21"/>
          <w:szCs w:val="21"/>
        </w:rPr>
        <w:t>National Housing Trust Fund</w:t>
      </w:r>
      <w:r w:rsidR="00BF7F70" w:rsidRPr="00A72B65">
        <w:rPr>
          <w:rFonts w:eastAsia="Times New Roman" w:cstheme="minorHAnsi"/>
          <w:b/>
          <w:color w:val="000000"/>
          <w:sz w:val="21"/>
          <w:szCs w:val="21"/>
        </w:rPr>
        <w:t xml:space="preserve"> –</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 The HTF is the only federal program designed to build and preserve housing affordable to people with the lowest incomes.  </w:t>
      </w:r>
      <w:r w:rsidR="00D0634B" w:rsidRPr="00A72B65">
        <w:rPr>
          <w:rFonts w:eastAsia="Times New Roman" w:cstheme="minorHAnsi"/>
          <w:color w:val="000000"/>
          <w:sz w:val="21"/>
          <w:szCs w:val="21"/>
        </w:rPr>
        <w:t>President Trump proposed to eliminate the</w:t>
      </w:r>
      <w:r w:rsidR="00113B0A">
        <w:rPr>
          <w:rFonts w:eastAsia="Times New Roman" w:cstheme="minorHAnsi"/>
          <w:color w:val="000000"/>
          <w:sz w:val="21"/>
          <w:szCs w:val="21"/>
        </w:rPr>
        <w:t xml:space="preserve"> HTF in his FY19 budget request</w:t>
      </w:r>
      <w:r w:rsidR="00D0634B" w:rsidRPr="00A72B65">
        <w:rPr>
          <w:rFonts w:eastAsia="Times New Roman" w:cstheme="minorHAnsi"/>
          <w:color w:val="000000"/>
          <w:sz w:val="21"/>
          <w:szCs w:val="21"/>
        </w:rPr>
        <w:t>.</w:t>
      </w:r>
    </w:p>
    <w:p w14:paraId="4B2ECBB5" w14:textId="10DE0705" w:rsidR="00761ACF" w:rsidRPr="00A72B65" w:rsidRDefault="00072D53" w:rsidP="00FA4725">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b/>
          <w:sz w:val="21"/>
          <w:szCs w:val="21"/>
        </w:rPr>
        <w:t xml:space="preserve">S. 1835: </w:t>
      </w:r>
      <w:r w:rsidR="00C02D6A" w:rsidRPr="00A72B65">
        <w:rPr>
          <w:rFonts w:eastAsia="Times New Roman" w:cstheme="minorHAnsi"/>
          <w:b/>
          <w:sz w:val="21"/>
          <w:szCs w:val="21"/>
        </w:rPr>
        <w:t>Lower Premiums Through Reins</w:t>
      </w:r>
      <w:r w:rsidRPr="00A72B65">
        <w:rPr>
          <w:rFonts w:eastAsia="Times New Roman" w:cstheme="minorHAnsi"/>
          <w:b/>
          <w:sz w:val="21"/>
          <w:szCs w:val="21"/>
        </w:rPr>
        <w:t xml:space="preserve">urance Act of 2017 </w:t>
      </w:r>
      <w:r w:rsidR="00C02D6A" w:rsidRPr="00A72B65">
        <w:rPr>
          <w:rFonts w:eastAsia="Times New Roman" w:cstheme="minorHAnsi"/>
          <w:b/>
          <w:sz w:val="21"/>
          <w:szCs w:val="21"/>
        </w:rPr>
        <w:t>–</w:t>
      </w:r>
      <w:r w:rsidR="0066382E" w:rsidRPr="00A72B65">
        <w:rPr>
          <w:rFonts w:eastAsia="Times New Roman" w:cstheme="minorHAnsi"/>
          <w:b/>
          <w:i/>
          <w:sz w:val="21"/>
          <w:szCs w:val="21"/>
        </w:rPr>
        <w:t xml:space="preserve"> </w:t>
      </w:r>
      <w:r w:rsidRPr="00A72B65">
        <w:rPr>
          <w:rFonts w:eastAsia="Times New Roman" w:cstheme="minorHAnsi"/>
          <w:b/>
          <w:i/>
          <w:sz w:val="21"/>
          <w:szCs w:val="21"/>
          <w:u w:val="single"/>
        </w:rPr>
        <w:t>No New Update</w:t>
      </w:r>
      <w:r w:rsidRPr="00A72B65">
        <w:rPr>
          <w:rFonts w:eastAsia="Times New Roman" w:cstheme="minorHAnsi"/>
          <w:b/>
          <w:i/>
          <w:sz w:val="21"/>
          <w:szCs w:val="21"/>
        </w:rPr>
        <w:t xml:space="preserve">.  </w:t>
      </w:r>
      <w:r w:rsidRPr="00A72B65">
        <w:rPr>
          <w:rFonts w:eastAsia="Times New Roman" w:cstheme="minorHAnsi"/>
          <w:sz w:val="21"/>
          <w:szCs w:val="21"/>
        </w:rPr>
        <w:t xml:space="preserve">Sponsored by Senator Collins.  </w:t>
      </w:r>
      <w:r w:rsidR="00C02D6A" w:rsidRPr="00A72B65">
        <w:rPr>
          <w:rFonts w:eastAsia="Times New Roman" w:cstheme="minorHAnsi"/>
          <w:sz w:val="21"/>
          <w:szCs w:val="21"/>
        </w:rPr>
        <w:t xml:space="preserve">This bill would give states some options--including options in the style of Maine's "PL 90" invisible </w:t>
      </w:r>
      <w:r w:rsidR="00FA4725" w:rsidRPr="00A72B65">
        <w:rPr>
          <w:rFonts w:eastAsia="Times New Roman" w:cstheme="minorHAnsi"/>
          <w:sz w:val="21"/>
          <w:szCs w:val="21"/>
        </w:rPr>
        <w:t>high-risk</w:t>
      </w:r>
      <w:r w:rsidR="00C02D6A" w:rsidRPr="00A72B65">
        <w:rPr>
          <w:rFonts w:eastAsia="Times New Roman" w:cstheme="minorHAnsi"/>
          <w:sz w:val="21"/>
          <w:szCs w:val="21"/>
        </w:rPr>
        <w:t xml:space="preserve"> pool that was in effect briefly before the ACA was passed--for stabilizing insurance markets.</w:t>
      </w:r>
      <w:r w:rsidR="005C45FE" w:rsidRPr="00A72B65">
        <w:rPr>
          <w:rFonts w:eastAsia="Times New Roman" w:cstheme="minorHAnsi"/>
          <w:sz w:val="21"/>
          <w:szCs w:val="21"/>
        </w:rPr>
        <w:t xml:space="preserve"> </w:t>
      </w:r>
    </w:p>
    <w:p w14:paraId="043DE21F" w14:textId="5BE3D13B" w:rsidR="00FA4725" w:rsidRPr="00A72B65" w:rsidRDefault="00A902FF" w:rsidP="00FA4725">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 xml:space="preserve">S. 743:  </w:t>
      </w:r>
      <w:r w:rsidR="00860558" w:rsidRPr="00A72B65">
        <w:rPr>
          <w:rFonts w:eastAsia="Times New Roman" w:cstheme="minorHAnsi"/>
          <w:b/>
          <w:color w:val="000000"/>
          <w:sz w:val="21"/>
          <w:szCs w:val="21"/>
        </w:rPr>
        <w:t>A Bill to Strengthen the United Stated Interagency Council on Homelessness</w:t>
      </w:r>
      <w:r w:rsidR="00BF7F70" w:rsidRPr="00A72B65">
        <w:rPr>
          <w:rFonts w:eastAsia="Times New Roman" w:cstheme="minorHAnsi"/>
          <w:b/>
          <w:color w:val="000000"/>
          <w:sz w:val="21"/>
          <w:szCs w:val="21"/>
        </w:rPr>
        <w:t xml:space="preserve"> </w:t>
      </w:r>
      <w:r w:rsidR="00BF7F70" w:rsidRPr="00A72B65">
        <w:rPr>
          <w:rFonts w:eastAsia="Times New Roman" w:cstheme="minorHAnsi"/>
          <w:b/>
          <w:i/>
          <w:color w:val="000000"/>
          <w:sz w:val="21"/>
          <w:szCs w:val="21"/>
          <w:u w:val="single"/>
        </w:rPr>
        <w:t>No New Update.</w:t>
      </w:r>
      <w:r w:rsidRPr="00A72B65">
        <w:rPr>
          <w:rFonts w:eastAsia="Times New Roman" w:cstheme="minorHAnsi"/>
          <w:b/>
          <w:color w:val="000000"/>
          <w:sz w:val="21"/>
          <w:szCs w:val="21"/>
        </w:rPr>
        <w:t xml:space="preserve"> </w:t>
      </w:r>
      <w:r w:rsidR="00BF7F70" w:rsidRPr="00A72B65">
        <w:rPr>
          <w:rFonts w:eastAsia="Times New Roman" w:cstheme="minorHAnsi"/>
          <w:b/>
          <w:color w:val="000000"/>
          <w:sz w:val="21"/>
          <w:szCs w:val="21"/>
        </w:rPr>
        <w:t xml:space="preserve"> </w:t>
      </w:r>
      <w:r w:rsidR="00860558" w:rsidRPr="00A72B65">
        <w:rPr>
          <w:rFonts w:eastAsia="Times New Roman" w:cstheme="minorHAnsi"/>
          <w:color w:val="000000"/>
          <w:sz w:val="21"/>
          <w:szCs w:val="21"/>
        </w:rPr>
        <w:t xml:space="preserve">Senators Collins and Reed </w:t>
      </w:r>
      <w:r w:rsidR="00D63E0E" w:rsidRPr="00A72B65">
        <w:rPr>
          <w:rFonts w:eastAsia="Times New Roman" w:cstheme="minorHAnsi"/>
          <w:color w:val="000000"/>
          <w:sz w:val="21"/>
          <w:szCs w:val="21"/>
        </w:rPr>
        <w:t xml:space="preserve">introduced legislation on 3/28 to strengthen and </w:t>
      </w:r>
      <w:r w:rsidR="00860558" w:rsidRPr="00A72B65">
        <w:rPr>
          <w:rFonts w:eastAsia="Times New Roman" w:cstheme="minorHAnsi"/>
          <w:color w:val="000000"/>
          <w:sz w:val="21"/>
          <w:szCs w:val="21"/>
        </w:rPr>
        <w:t>eliminate the sunset for the U.S. Interagency Council on Homelessness (USICH).</w:t>
      </w:r>
      <w:r w:rsidRPr="00A72B65">
        <w:rPr>
          <w:rFonts w:eastAsia="Times New Roman" w:cstheme="minorHAnsi"/>
          <w:color w:val="000000"/>
          <w:sz w:val="21"/>
          <w:szCs w:val="21"/>
        </w:rPr>
        <w:t xml:space="preserve">  Referred to the Senate Committee on Banking, Housing, and Urban Affairs. </w:t>
      </w:r>
      <w:r w:rsidR="00860558" w:rsidRPr="00A72B65">
        <w:rPr>
          <w:rFonts w:eastAsia="Times New Roman" w:cstheme="minorHAnsi"/>
          <w:color w:val="000000"/>
          <w:sz w:val="21"/>
          <w:szCs w:val="21"/>
        </w:rPr>
        <w:t xml:space="preserve">     </w:t>
      </w:r>
    </w:p>
    <w:p w14:paraId="7940A892" w14:textId="65505687" w:rsidR="00FA4725" w:rsidRPr="00A72B65" w:rsidRDefault="00D63E0E" w:rsidP="00FA4725">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H.R. 161:  Services for Endin</w:t>
      </w:r>
      <w:r w:rsidR="00B16C1D" w:rsidRPr="00A72B65">
        <w:rPr>
          <w:rFonts w:eastAsia="Times New Roman" w:cstheme="minorHAnsi"/>
          <w:b/>
          <w:color w:val="000000"/>
          <w:sz w:val="21"/>
          <w:szCs w:val="21"/>
        </w:rPr>
        <w:t>g Long-</w:t>
      </w:r>
      <w:r w:rsidR="00BF7F70" w:rsidRPr="00A72B65">
        <w:rPr>
          <w:rFonts w:eastAsia="Times New Roman" w:cstheme="minorHAnsi"/>
          <w:b/>
          <w:color w:val="000000"/>
          <w:sz w:val="21"/>
          <w:szCs w:val="21"/>
        </w:rPr>
        <w:t xml:space="preserve">Term Homelessness Act – </w:t>
      </w:r>
      <w:r w:rsidR="00BF7F70" w:rsidRPr="00A72B65">
        <w:rPr>
          <w:rFonts w:eastAsia="Times New Roman" w:cstheme="minorHAnsi"/>
          <w:b/>
          <w:i/>
          <w:color w:val="000000"/>
          <w:sz w:val="21"/>
          <w:szCs w:val="21"/>
          <w:u w:val="single"/>
        </w:rPr>
        <w:t>No New Update.</w:t>
      </w:r>
      <w:r w:rsidR="00BF7F70"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Sponsored by Representative Hastings (Florida). </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A72B65" w:rsidRDefault="0025492E" w:rsidP="00FA4725">
      <w:pPr>
        <w:pStyle w:val="ListParagraph"/>
        <w:numPr>
          <w:ilvl w:val="0"/>
          <w:numId w:val="4"/>
        </w:numPr>
        <w:spacing w:after="0" w:line="240" w:lineRule="auto"/>
        <w:ind w:left="360"/>
        <w:rPr>
          <w:rFonts w:cstheme="minorHAnsi"/>
          <w:sz w:val="21"/>
          <w:szCs w:val="21"/>
        </w:rPr>
      </w:pPr>
      <w:r w:rsidRPr="00A72B65">
        <w:rPr>
          <w:rFonts w:eastAsia="Times New Roman" w:cstheme="minorHAnsi"/>
          <w:b/>
          <w:color w:val="000000"/>
          <w:sz w:val="21"/>
          <w:szCs w:val="21"/>
        </w:rPr>
        <w:t>H.R. 948:  The Common Sense Housing Investment Act</w:t>
      </w:r>
      <w:r w:rsidR="00072D53" w:rsidRPr="00A72B65">
        <w:rPr>
          <w:rFonts w:eastAsia="Times New Roman" w:cstheme="minorHAnsi"/>
          <w:b/>
          <w:color w:val="000000"/>
          <w:sz w:val="21"/>
          <w:szCs w:val="21"/>
        </w:rPr>
        <w:t xml:space="preserve"> of 2017. – </w:t>
      </w:r>
      <w:r w:rsidR="00072D53" w:rsidRPr="00A72B65">
        <w:rPr>
          <w:rFonts w:eastAsia="Times New Roman" w:cstheme="minorHAnsi"/>
          <w:b/>
          <w:i/>
          <w:color w:val="000000"/>
          <w:sz w:val="21"/>
          <w:szCs w:val="21"/>
          <w:u w:val="single"/>
        </w:rPr>
        <w:t>No New Update.</w:t>
      </w:r>
      <w:r w:rsidR="00072D53" w:rsidRPr="00A72B65">
        <w:rPr>
          <w:rFonts w:eastAsia="Times New Roman" w:cstheme="minorHAnsi"/>
          <w:color w:val="000000"/>
          <w:sz w:val="21"/>
          <w:szCs w:val="21"/>
        </w:rPr>
        <w:t xml:space="preserve"> </w:t>
      </w:r>
      <w:r w:rsidR="0039081C" w:rsidRPr="00A72B65">
        <w:rPr>
          <w:rFonts w:eastAsia="Times New Roman" w:cstheme="minorHAnsi"/>
          <w:color w:val="000000"/>
          <w:sz w:val="21"/>
          <w:szCs w:val="21"/>
        </w:rPr>
        <w:t>Sponsored by Rep. Keith Ellison.</w:t>
      </w:r>
      <w:r w:rsidRPr="00A72B65">
        <w:rPr>
          <w:rFonts w:eastAsia="Times New Roman" w:cstheme="minorHAnsi"/>
          <w:b/>
          <w:color w:val="000000"/>
          <w:sz w:val="21"/>
          <w:szCs w:val="21"/>
        </w:rPr>
        <w:t xml:space="preserve">  </w:t>
      </w:r>
      <w:r w:rsidR="0039081C" w:rsidRPr="00A72B65">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A72B65">
        <w:rPr>
          <w:rFonts w:eastAsia="Times New Roman" w:cstheme="minorHAnsi"/>
          <w:color w:val="000000"/>
          <w:sz w:val="21"/>
          <w:szCs w:val="21"/>
        </w:rPr>
        <w:t xml:space="preserve">   </w:t>
      </w:r>
      <w:r w:rsidRPr="00A72B65">
        <w:rPr>
          <w:rFonts w:eastAsia="Times New Roman" w:cstheme="minorHAnsi"/>
          <w:color w:val="000000"/>
          <w:sz w:val="21"/>
          <w:szCs w:val="21"/>
        </w:rPr>
        <w:t xml:space="preserve">  </w:t>
      </w:r>
      <w:r w:rsidR="00BB3420" w:rsidRPr="00A72B65">
        <w:rPr>
          <w:rFonts w:cstheme="minorHAnsi"/>
          <w:sz w:val="21"/>
          <w:szCs w:val="21"/>
        </w:rPr>
        <w:t xml:space="preserve">  </w:t>
      </w:r>
    </w:p>
    <w:p w14:paraId="46F68877" w14:textId="5BDCCB53" w:rsidR="00030CF5" w:rsidRPr="00A72B65" w:rsidRDefault="00030CF5" w:rsidP="00072D53">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 xml:space="preserve">H.R. </w:t>
      </w:r>
      <w:r w:rsidR="0039081C" w:rsidRPr="00A72B65">
        <w:rPr>
          <w:rFonts w:eastAsia="Times New Roman" w:cstheme="minorHAnsi"/>
          <w:b/>
          <w:color w:val="000000"/>
          <w:sz w:val="21"/>
          <w:szCs w:val="21"/>
        </w:rPr>
        <w:t>2076</w:t>
      </w:r>
      <w:r w:rsidRPr="00A72B65">
        <w:rPr>
          <w:rFonts w:eastAsia="Times New Roman" w:cstheme="minorHAnsi"/>
          <w:b/>
          <w:color w:val="000000"/>
          <w:sz w:val="21"/>
          <w:szCs w:val="21"/>
        </w:rPr>
        <w:t>:</w:t>
      </w:r>
      <w:r w:rsidR="0039081C" w:rsidRPr="00A72B65">
        <w:rPr>
          <w:rFonts w:eastAsia="Times New Roman" w:cstheme="minorHAnsi"/>
          <w:b/>
          <w:color w:val="000000"/>
          <w:sz w:val="21"/>
          <w:szCs w:val="21"/>
        </w:rPr>
        <w:t xml:space="preserve"> Ending Homelessness Act of 2017</w:t>
      </w:r>
      <w:r w:rsidR="00BF7F70" w:rsidRPr="00A72B65">
        <w:rPr>
          <w:rFonts w:eastAsia="Times New Roman" w:cstheme="minorHAnsi"/>
          <w:color w:val="000000"/>
          <w:sz w:val="21"/>
          <w:szCs w:val="21"/>
        </w:rPr>
        <w:t xml:space="preserve"> </w:t>
      </w:r>
      <w:r w:rsidR="00BF7F70" w:rsidRPr="00A72B65">
        <w:rPr>
          <w:rFonts w:cstheme="minorHAnsi"/>
          <w:b/>
          <w:sz w:val="21"/>
          <w:szCs w:val="21"/>
        </w:rPr>
        <w:t xml:space="preserve">– </w:t>
      </w:r>
      <w:r w:rsidR="00BF7F70" w:rsidRPr="00A72B65">
        <w:rPr>
          <w:rFonts w:eastAsia="Times New Roman" w:cstheme="minorHAnsi"/>
          <w:b/>
          <w:i/>
          <w:color w:val="000000"/>
          <w:sz w:val="21"/>
          <w:szCs w:val="21"/>
          <w:u w:val="single"/>
        </w:rPr>
        <w:t>No New Update</w:t>
      </w:r>
      <w:r w:rsidRPr="00A72B65">
        <w:rPr>
          <w:rFonts w:eastAsia="Times New Roman" w:cstheme="minorHAnsi"/>
          <w:b/>
          <w:i/>
          <w:color w:val="000000"/>
          <w:sz w:val="21"/>
          <w:szCs w:val="21"/>
        </w:rPr>
        <w:t>.</w:t>
      </w:r>
      <w:r w:rsidRPr="00A72B65">
        <w:rPr>
          <w:rFonts w:eastAsia="Times New Roman" w:cstheme="minorHAnsi"/>
          <w:i/>
          <w:color w:val="000000"/>
          <w:sz w:val="21"/>
          <w:szCs w:val="21"/>
        </w:rPr>
        <w:t xml:space="preserve">  </w:t>
      </w:r>
      <w:r w:rsidR="0039081C" w:rsidRPr="00A72B65">
        <w:rPr>
          <w:rFonts w:eastAsia="Times New Roman" w:cstheme="minorHAnsi"/>
          <w:color w:val="000000"/>
          <w:sz w:val="21"/>
          <w:szCs w:val="21"/>
        </w:rPr>
        <w:t>Introduced on 4</w:t>
      </w:r>
      <w:r w:rsidRPr="00A72B65">
        <w:rPr>
          <w:rFonts w:eastAsia="Times New Roman" w:cstheme="minorHAnsi"/>
          <w:color w:val="000000"/>
          <w:sz w:val="21"/>
          <w:szCs w:val="21"/>
        </w:rPr>
        <w:t>/</w:t>
      </w:r>
      <w:r w:rsidR="0039081C" w:rsidRPr="00A72B65">
        <w:rPr>
          <w:rFonts w:eastAsia="Times New Roman" w:cstheme="minorHAnsi"/>
          <w:color w:val="000000"/>
          <w:sz w:val="21"/>
          <w:szCs w:val="21"/>
        </w:rPr>
        <w:t>6</w:t>
      </w:r>
      <w:r w:rsidRPr="00A72B65">
        <w:rPr>
          <w:rFonts w:eastAsia="Times New Roman" w:cstheme="minorHAnsi"/>
          <w:color w:val="000000"/>
          <w:sz w:val="21"/>
          <w:szCs w:val="21"/>
        </w:rPr>
        <w:t xml:space="preserve"> by House Financial Services Committee Ranking Member Maxine Waters (D-CA). </w:t>
      </w:r>
    </w:p>
    <w:p w14:paraId="40712384" w14:textId="30995283" w:rsidR="001200D7" w:rsidRPr="00A72B65" w:rsidRDefault="001200D7" w:rsidP="001200D7">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color w:val="000000"/>
          <w:sz w:val="21"/>
          <w:szCs w:val="21"/>
        </w:rPr>
        <w:lastRenderedPageBreak/>
        <w:t>On 2/23, Financial Services Committee Ranking Member Maxine Waters requested that the Government Accountability Office (GAO) conduct a study on the state of homelessness in America.</w:t>
      </w:r>
      <w:r w:rsidRPr="00A72B65">
        <w:rPr>
          <w:sz w:val="21"/>
          <w:szCs w:val="21"/>
        </w:rPr>
        <w:t xml:space="preserve">  Rep. Waters </w:t>
      </w:r>
      <w:r w:rsidRPr="00A72B65">
        <w:rPr>
          <w:rFonts w:eastAsia="Times New Roman" w:cstheme="minorHAnsi"/>
          <w:color w:val="000000"/>
          <w:sz w:val="21"/>
          <w:szCs w:val="21"/>
        </w:rPr>
        <w:t>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Default="00C61339" w:rsidP="00D406D2">
      <w:pPr>
        <w:pStyle w:val="ListParagraph"/>
        <w:numPr>
          <w:ilvl w:val="0"/>
          <w:numId w:val="4"/>
        </w:numPr>
        <w:spacing w:after="0" w:line="240" w:lineRule="auto"/>
        <w:ind w:left="360"/>
        <w:rPr>
          <w:rFonts w:eastAsia="Times New Roman" w:cstheme="minorHAnsi"/>
          <w:color w:val="000000"/>
          <w:sz w:val="21"/>
          <w:szCs w:val="21"/>
        </w:rPr>
      </w:pPr>
      <w:r w:rsidRPr="00C61339">
        <w:rPr>
          <w:rFonts w:eastAsia="Times New Roman" w:cstheme="minorHAnsi"/>
          <w:b/>
          <w:color w:val="000000"/>
          <w:sz w:val="21"/>
          <w:szCs w:val="21"/>
        </w:rPr>
        <w:t xml:space="preserve">S. 2571:  </w:t>
      </w:r>
      <w:r w:rsidR="00547A45" w:rsidRPr="00C61339">
        <w:rPr>
          <w:rFonts w:eastAsia="Times New Roman" w:cstheme="minorHAnsi"/>
          <w:b/>
          <w:color w:val="000000"/>
          <w:sz w:val="21"/>
          <w:szCs w:val="21"/>
        </w:rPr>
        <w:t>The Runaway and Homeless Youth and Traffi</w:t>
      </w:r>
      <w:r w:rsidRPr="00C61339">
        <w:rPr>
          <w:rFonts w:eastAsia="Times New Roman" w:cstheme="minorHAnsi"/>
          <w:b/>
          <w:color w:val="000000"/>
          <w:sz w:val="21"/>
          <w:szCs w:val="21"/>
        </w:rPr>
        <w:t>cking Prevention Act (RHYTPA)</w:t>
      </w:r>
      <w:r>
        <w:rPr>
          <w:rFonts w:eastAsia="Times New Roman" w:cstheme="minorHAnsi"/>
          <w:color w:val="000000"/>
          <w:sz w:val="21"/>
          <w:szCs w:val="21"/>
        </w:rPr>
        <w:t xml:space="preserve">.  </w:t>
      </w:r>
      <w:r w:rsidRPr="003E7DB9">
        <w:rPr>
          <w:rFonts w:eastAsia="Times New Roman" w:cstheme="minorHAnsi"/>
          <w:i/>
          <w:color w:val="000000"/>
          <w:sz w:val="21"/>
          <w:szCs w:val="21"/>
        </w:rPr>
        <w:t>Referred to the Committee on the Judiciary</w:t>
      </w:r>
      <w:r w:rsidRPr="003E7DB9">
        <w:rPr>
          <w:rFonts w:eastAsia="Times New Roman" w:cstheme="minorHAnsi"/>
          <w:color w:val="000000"/>
          <w:sz w:val="21"/>
          <w:szCs w:val="21"/>
        </w:rPr>
        <w:t>.</w:t>
      </w:r>
      <w:r>
        <w:rPr>
          <w:rFonts w:eastAsia="Times New Roman" w:cstheme="minorHAnsi"/>
          <w:color w:val="000000"/>
          <w:sz w:val="21"/>
          <w:szCs w:val="21"/>
        </w:rPr>
        <w:t xml:space="preserve">  Sponsored by </w:t>
      </w:r>
      <w:r w:rsidR="00547A45" w:rsidRPr="00A72B65">
        <w:rPr>
          <w:rFonts w:eastAsia="Times New Roman" w:cstheme="minorHAnsi"/>
          <w:color w:val="000000"/>
          <w:sz w:val="21"/>
          <w:szCs w:val="21"/>
        </w:rPr>
        <w:t>Senators Susan C</w:t>
      </w:r>
      <w:r>
        <w:rPr>
          <w:rFonts w:eastAsia="Times New Roman" w:cstheme="minorHAnsi"/>
          <w:color w:val="000000"/>
          <w:sz w:val="21"/>
          <w:szCs w:val="21"/>
        </w:rPr>
        <w:t xml:space="preserve">ollins and Patrick Leahy (D-VT).  (House companion bill:  H.R. 5539 sponsored by Congressman Yarmuth (D-KY), Congressman Denham (R-CA), and Congressman Reichert (R-WA)).  The reintroduced bipartisan bill </w:t>
      </w:r>
      <w:r w:rsidR="00547A45" w:rsidRPr="00A72B65">
        <w:rPr>
          <w:rFonts w:eastAsia="Times New Roman" w:cstheme="minorHAnsi"/>
          <w:color w:val="000000"/>
          <w:sz w:val="21"/>
          <w:szCs w:val="21"/>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17A6F610" w:rsidR="00B935BB" w:rsidRDefault="00D406D2" w:rsidP="00B935BB">
      <w:pPr>
        <w:pStyle w:val="ListParagraph"/>
        <w:numPr>
          <w:ilvl w:val="0"/>
          <w:numId w:val="4"/>
        </w:numPr>
        <w:spacing w:after="0" w:line="240" w:lineRule="auto"/>
        <w:ind w:left="360"/>
        <w:rPr>
          <w:rFonts w:eastAsia="Times New Roman" w:cstheme="minorHAnsi"/>
          <w:color w:val="000000"/>
          <w:sz w:val="21"/>
          <w:szCs w:val="21"/>
        </w:rPr>
      </w:pPr>
      <w:r w:rsidRPr="00D406D2">
        <w:rPr>
          <w:rFonts w:eastAsia="Times New Roman" w:cstheme="minorHAnsi"/>
          <w:b/>
          <w:i/>
          <w:color w:val="000000"/>
          <w:sz w:val="21"/>
          <w:szCs w:val="21"/>
          <w:highlight w:val="yellow"/>
          <w:u w:val="single"/>
        </w:rPr>
        <w:t>New</w:t>
      </w:r>
      <w:r>
        <w:rPr>
          <w:rFonts w:eastAsia="Times New Roman" w:cstheme="minorHAnsi"/>
          <w:b/>
          <w:i/>
          <w:color w:val="000000"/>
          <w:sz w:val="21"/>
          <w:szCs w:val="21"/>
          <w:u w:val="single"/>
        </w:rPr>
        <w:t xml:space="preserve"> </w:t>
      </w:r>
      <w:r w:rsidRPr="00D406D2">
        <w:rPr>
          <w:rFonts w:eastAsia="Times New Roman" w:cstheme="minorHAnsi"/>
          <w:color w:val="000000"/>
          <w:sz w:val="21"/>
          <w:szCs w:val="21"/>
        </w:rPr>
        <w:t xml:space="preserve">– </w:t>
      </w:r>
      <w:r>
        <w:rPr>
          <w:rFonts w:eastAsia="Times New Roman" w:cstheme="minorHAnsi"/>
          <w:color w:val="000000"/>
          <w:sz w:val="21"/>
          <w:szCs w:val="21"/>
        </w:rPr>
        <w:t xml:space="preserve">On 5/16 </w:t>
      </w:r>
      <w:r w:rsidRPr="00D406D2">
        <w:rPr>
          <w:rFonts w:eastAsia="Times New Roman" w:cstheme="minorHAnsi"/>
          <w:color w:val="000000"/>
          <w:sz w:val="21"/>
          <w:szCs w:val="21"/>
        </w:rPr>
        <w:t>House Financial Services Committee Ranking Member Maxine Waters (D-CA</w:t>
      </w:r>
      <w:r>
        <w:rPr>
          <w:rFonts w:eastAsia="Times New Roman" w:cstheme="minorHAnsi"/>
          <w:color w:val="000000"/>
          <w:sz w:val="21"/>
          <w:szCs w:val="21"/>
        </w:rPr>
        <w:t xml:space="preserve">) introduced the </w:t>
      </w:r>
      <w:r w:rsidRPr="00D406D2">
        <w:rPr>
          <w:rFonts w:eastAsia="Times New Roman" w:cstheme="minorHAnsi"/>
          <w:b/>
          <w:color w:val="000000"/>
          <w:sz w:val="21"/>
          <w:szCs w:val="21"/>
        </w:rPr>
        <w:t>Expanding Housing Opportunities for Foster Youth Act of 2018</w:t>
      </w:r>
      <w:r>
        <w:rPr>
          <w:rFonts w:eastAsia="Times New Roman" w:cstheme="minorHAnsi"/>
          <w:color w:val="000000"/>
          <w:sz w:val="21"/>
          <w:szCs w:val="21"/>
        </w:rPr>
        <w:t>.</w:t>
      </w:r>
      <w:r w:rsidRPr="00D406D2">
        <w:rPr>
          <w:rFonts w:eastAsia="Times New Roman" w:cstheme="minorHAnsi"/>
          <w:color w:val="000000"/>
          <w:sz w:val="21"/>
          <w:szCs w:val="21"/>
        </w:rPr>
        <w:t xml:space="preserve"> This bill would permanently reauthorize $200 million annually for HUD’s Family Unification Program (FUP), which helps provide stable housing for young people transitioning out of foster care.</w:t>
      </w:r>
    </w:p>
    <w:p w14:paraId="7B3A921C" w14:textId="0C6663FC" w:rsidR="00DE69A1" w:rsidRDefault="00DE69A1" w:rsidP="00DE69A1">
      <w:pPr>
        <w:pStyle w:val="ListParagraph"/>
        <w:numPr>
          <w:ilvl w:val="0"/>
          <w:numId w:val="4"/>
        </w:numPr>
        <w:spacing w:after="0" w:line="240" w:lineRule="auto"/>
        <w:ind w:left="360"/>
        <w:rPr>
          <w:rFonts w:eastAsia="Times New Roman" w:cstheme="minorHAnsi"/>
          <w:color w:val="000000"/>
          <w:sz w:val="21"/>
          <w:szCs w:val="21"/>
        </w:rPr>
      </w:pPr>
      <w:r w:rsidRPr="00DE69A1">
        <w:rPr>
          <w:rFonts w:eastAsia="Times New Roman" w:cstheme="minorHAnsi"/>
          <w:b/>
          <w:i/>
          <w:color w:val="000000"/>
          <w:sz w:val="21"/>
          <w:szCs w:val="21"/>
          <w:highlight w:val="yellow"/>
          <w:u w:val="single"/>
        </w:rPr>
        <w:t>New</w:t>
      </w:r>
      <w:r>
        <w:rPr>
          <w:rFonts w:eastAsia="Times New Roman" w:cstheme="minorHAnsi"/>
          <w:b/>
          <w:i/>
          <w:color w:val="000000"/>
          <w:sz w:val="21"/>
          <w:szCs w:val="21"/>
          <w:u w:val="single"/>
        </w:rPr>
        <w:t xml:space="preserve"> </w:t>
      </w:r>
      <w:r>
        <w:rPr>
          <w:rFonts w:eastAsia="Times New Roman" w:cstheme="minorHAnsi"/>
          <w:color w:val="000000"/>
          <w:sz w:val="21"/>
          <w:szCs w:val="21"/>
        </w:rPr>
        <w:t xml:space="preserve">– On 5/24 the President signed the Family Self-Sufficiency Act into law.  </w:t>
      </w:r>
      <w:r w:rsidRPr="00DE69A1">
        <w:rPr>
          <w:rFonts w:eastAsia="Times New Roman" w:cstheme="minorHAnsi"/>
          <w:color w:val="000000"/>
          <w:sz w:val="21"/>
          <w:szCs w:val="21"/>
        </w:rPr>
        <w:t>The FSS law permanently reauthorizes the program, combines the FSS programs for Housing Choice Vouchers and public housing, which are currently run separately, and expands eligibility to include families in privately owned properties subsidized with HUD project-based rental assistance. The program also offers new services for financial literacy and educational attainment.</w:t>
      </w:r>
    </w:p>
    <w:p w14:paraId="4F166628" w14:textId="12B20628" w:rsidR="00DE69A1" w:rsidRDefault="00DE69A1" w:rsidP="00DE69A1">
      <w:pPr>
        <w:pStyle w:val="ListParagraph"/>
        <w:numPr>
          <w:ilvl w:val="0"/>
          <w:numId w:val="4"/>
        </w:numPr>
        <w:spacing w:after="0" w:line="240" w:lineRule="auto"/>
        <w:ind w:left="360"/>
        <w:rPr>
          <w:rFonts w:eastAsia="Times New Roman" w:cstheme="minorHAnsi"/>
          <w:color w:val="000000"/>
          <w:sz w:val="21"/>
          <w:szCs w:val="21"/>
        </w:rPr>
      </w:pPr>
      <w:r w:rsidRPr="00DE69A1">
        <w:rPr>
          <w:rFonts w:eastAsia="Times New Roman" w:cstheme="minorHAnsi"/>
          <w:b/>
          <w:i/>
          <w:color w:val="000000"/>
          <w:sz w:val="21"/>
          <w:szCs w:val="21"/>
          <w:highlight w:val="yellow"/>
          <w:u w:val="single"/>
        </w:rPr>
        <w:t>New</w:t>
      </w:r>
      <w:r>
        <w:rPr>
          <w:rFonts w:eastAsia="Times New Roman" w:cstheme="minorHAnsi"/>
          <w:b/>
          <w:i/>
          <w:color w:val="000000"/>
          <w:sz w:val="21"/>
          <w:szCs w:val="21"/>
          <w:u w:val="single"/>
        </w:rPr>
        <w:t xml:space="preserve"> </w:t>
      </w:r>
      <w:r>
        <w:rPr>
          <w:rFonts w:eastAsia="Times New Roman" w:cstheme="minorHAnsi"/>
          <w:color w:val="000000"/>
          <w:sz w:val="21"/>
          <w:szCs w:val="21"/>
        </w:rPr>
        <w:t>– H.R. 5793:  The Housing Choice Voucher Mobility Demonstration Act of 2018 – According to the NLIHC, t</w:t>
      </w:r>
      <w:r w:rsidRPr="00DE69A1">
        <w:rPr>
          <w:rFonts w:eastAsia="Times New Roman" w:cstheme="minorHAnsi"/>
          <w:color w:val="000000"/>
          <w:sz w:val="21"/>
          <w:szCs w:val="21"/>
        </w:rPr>
        <w:t>h</w:t>
      </w:r>
      <w:r>
        <w:rPr>
          <w:rFonts w:eastAsia="Times New Roman" w:cstheme="minorHAnsi"/>
          <w:color w:val="000000"/>
          <w:sz w:val="21"/>
          <w:szCs w:val="21"/>
        </w:rPr>
        <w:t>is bill</w:t>
      </w:r>
      <w:r w:rsidRPr="00DE69A1">
        <w:rPr>
          <w:rFonts w:eastAsia="Times New Roman" w:cstheme="minorHAnsi"/>
          <w:color w:val="000000"/>
          <w:sz w:val="21"/>
          <w:szCs w:val="21"/>
        </w:rPr>
        <w:t>, if enacted, would further improve voucher mobility to help more households using housing vouchers move to communities of their choice</w:t>
      </w:r>
      <w:r>
        <w:rPr>
          <w:rFonts w:eastAsia="Times New Roman" w:cstheme="minorHAnsi"/>
          <w:color w:val="000000"/>
          <w:sz w:val="21"/>
          <w:szCs w:val="21"/>
        </w:rPr>
        <w:t>.  On 5/22 the House Financial Services Committee approved the bill.</w:t>
      </w:r>
    </w:p>
    <w:p w14:paraId="52A2E061" w14:textId="578F082D" w:rsidR="00DE69A1" w:rsidRPr="00D406D2" w:rsidRDefault="00DE69A1" w:rsidP="00DE69A1">
      <w:pPr>
        <w:pStyle w:val="ListParagraph"/>
        <w:numPr>
          <w:ilvl w:val="0"/>
          <w:numId w:val="4"/>
        </w:numPr>
        <w:spacing w:after="0" w:line="240" w:lineRule="auto"/>
        <w:ind w:left="360"/>
        <w:rPr>
          <w:rFonts w:eastAsia="Times New Roman" w:cstheme="minorHAnsi"/>
          <w:color w:val="000000"/>
          <w:sz w:val="21"/>
          <w:szCs w:val="21"/>
        </w:rPr>
      </w:pPr>
      <w:r w:rsidRPr="00DE69A1">
        <w:rPr>
          <w:rFonts w:eastAsia="Times New Roman" w:cstheme="minorHAnsi"/>
          <w:b/>
          <w:i/>
          <w:color w:val="000000"/>
          <w:sz w:val="21"/>
          <w:szCs w:val="21"/>
          <w:highlight w:val="yellow"/>
          <w:u w:val="single"/>
        </w:rPr>
        <w:t>New</w:t>
      </w:r>
      <w:r w:rsidRPr="00DE69A1">
        <w:rPr>
          <w:rFonts w:eastAsia="Times New Roman" w:cstheme="minorHAnsi"/>
          <w:color w:val="000000"/>
          <w:sz w:val="21"/>
          <w:szCs w:val="21"/>
        </w:rPr>
        <w:t xml:space="preserve"> – The three Affirmatively Furthering Fair Housing (AFFH) notices that HUD</w:t>
      </w:r>
      <w:r>
        <w:rPr>
          <w:rFonts w:eastAsia="Times New Roman" w:cstheme="minorHAnsi"/>
          <w:color w:val="000000"/>
          <w:sz w:val="21"/>
          <w:szCs w:val="21"/>
        </w:rPr>
        <w:t xml:space="preserve"> informally announced on 5/18</w:t>
      </w:r>
      <w:r w:rsidRPr="00DE69A1">
        <w:rPr>
          <w:rFonts w:eastAsia="Times New Roman" w:cstheme="minorHAnsi"/>
          <w:color w:val="000000"/>
          <w:sz w:val="21"/>
          <w:szCs w:val="21"/>
        </w:rPr>
        <w:t xml:space="preserve"> were formally published in the Federal Register on </w:t>
      </w:r>
      <w:r>
        <w:rPr>
          <w:rFonts w:eastAsia="Times New Roman" w:cstheme="minorHAnsi"/>
          <w:color w:val="000000"/>
          <w:sz w:val="21"/>
          <w:szCs w:val="21"/>
        </w:rPr>
        <w:t>5/23</w:t>
      </w:r>
      <w:r w:rsidRPr="00DE69A1">
        <w:rPr>
          <w:rFonts w:eastAsia="Times New Roman" w:cstheme="minorHAnsi"/>
          <w:color w:val="000000"/>
          <w:sz w:val="21"/>
          <w:szCs w:val="21"/>
        </w:rPr>
        <w:t xml:space="preserve">. </w:t>
      </w:r>
      <w:r>
        <w:rPr>
          <w:rFonts w:eastAsia="Times New Roman" w:cstheme="minorHAnsi"/>
          <w:color w:val="000000"/>
          <w:sz w:val="21"/>
          <w:szCs w:val="21"/>
        </w:rPr>
        <w:t xml:space="preserve"> </w:t>
      </w:r>
      <w:r w:rsidRPr="00DE69A1">
        <w:rPr>
          <w:rFonts w:eastAsia="Times New Roman" w:cstheme="minorHAnsi"/>
          <w:color w:val="000000"/>
          <w:sz w:val="21"/>
          <w:szCs w:val="21"/>
        </w:rPr>
        <w:t>Through these notices, HUD has in effect indefinitely suspended implementation of the 2015 AFFH rule.</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C198652" w14:textId="1A66DC60" w:rsidR="00C67142" w:rsidRDefault="00A73A3B" w:rsidP="00C67142">
      <w:pPr>
        <w:spacing w:after="0" w:line="240" w:lineRule="auto"/>
        <w:contextualSpacing/>
        <w:rPr>
          <w:rFonts w:cstheme="minorHAnsi"/>
          <w:b/>
          <w:sz w:val="21"/>
          <w:szCs w:val="21"/>
          <w:u w:val="single"/>
        </w:rPr>
      </w:pPr>
      <w:r w:rsidRPr="00A72B65">
        <w:rPr>
          <w:rFonts w:cstheme="minorHAnsi"/>
          <w:b/>
          <w:sz w:val="21"/>
          <w:szCs w:val="21"/>
        </w:rPr>
        <w:t>State Legislation Update:</w:t>
      </w:r>
      <w:r w:rsidR="003F33FB" w:rsidRPr="00A72B65">
        <w:rPr>
          <w:rFonts w:cstheme="minorHAnsi"/>
          <w:b/>
          <w:sz w:val="21"/>
          <w:szCs w:val="21"/>
        </w:rPr>
        <w:t xml:space="preserve"> </w:t>
      </w:r>
      <w:r w:rsidR="00D83479" w:rsidRPr="00D83479">
        <w:rPr>
          <w:rFonts w:cstheme="minorHAnsi"/>
          <w:b/>
          <w:sz w:val="21"/>
          <w:szCs w:val="21"/>
          <w:highlight w:val="yellow"/>
          <w:u w:val="single"/>
        </w:rPr>
        <w:t xml:space="preserve">The </w:t>
      </w:r>
      <w:r w:rsidR="00D83479">
        <w:rPr>
          <w:rFonts w:cstheme="minorHAnsi"/>
          <w:b/>
          <w:sz w:val="21"/>
          <w:szCs w:val="21"/>
          <w:highlight w:val="yellow"/>
          <w:u w:val="single"/>
        </w:rPr>
        <w:t xml:space="preserve">Legislature </w:t>
      </w:r>
      <w:r w:rsidR="00D83479" w:rsidRPr="00D83479">
        <w:rPr>
          <w:rFonts w:cstheme="minorHAnsi"/>
          <w:b/>
          <w:sz w:val="21"/>
          <w:szCs w:val="21"/>
          <w:highlight w:val="yellow"/>
          <w:u w:val="single"/>
        </w:rPr>
        <w:t xml:space="preserve">adjourned </w:t>
      </w:r>
      <w:r w:rsidR="0096238A">
        <w:rPr>
          <w:rFonts w:cstheme="minorHAnsi"/>
          <w:b/>
          <w:sz w:val="21"/>
          <w:szCs w:val="21"/>
          <w:highlight w:val="yellow"/>
          <w:u w:val="single"/>
        </w:rPr>
        <w:t xml:space="preserve">Sine Die, </w:t>
      </w:r>
      <w:r w:rsidR="0096238A" w:rsidRPr="0096238A">
        <w:rPr>
          <w:rFonts w:cstheme="minorHAnsi"/>
          <w:b/>
          <w:sz w:val="21"/>
          <w:szCs w:val="21"/>
          <w:highlight w:val="yellow"/>
          <w:u w:val="single"/>
        </w:rPr>
        <w:t xml:space="preserve">leaving numerous bills on the Table.  It’s possible the Legislature could convene a Special Session to address the unfinished business – it would take the Governor or legislative leadership to do </w:t>
      </w:r>
      <w:r w:rsidR="0096238A" w:rsidRPr="00DE69A1">
        <w:rPr>
          <w:rFonts w:cstheme="minorHAnsi"/>
          <w:b/>
          <w:sz w:val="21"/>
          <w:szCs w:val="21"/>
          <w:highlight w:val="yellow"/>
          <w:u w:val="single"/>
        </w:rPr>
        <w:t>so</w:t>
      </w:r>
      <w:r w:rsidR="00D83479" w:rsidRPr="00DE69A1">
        <w:rPr>
          <w:rFonts w:cstheme="minorHAnsi"/>
          <w:b/>
          <w:sz w:val="21"/>
          <w:szCs w:val="21"/>
          <w:highlight w:val="yellow"/>
          <w:u w:val="single"/>
        </w:rPr>
        <w:t>.</w:t>
      </w:r>
      <w:r w:rsidR="00DE69A1" w:rsidRPr="00DE69A1">
        <w:rPr>
          <w:rFonts w:cstheme="minorHAnsi"/>
          <w:b/>
          <w:sz w:val="21"/>
          <w:szCs w:val="21"/>
          <w:highlight w:val="yellow"/>
          <w:u w:val="single"/>
        </w:rPr>
        <w:t xml:space="preserve">  The Appropriations and Financial Affairs Committee </w:t>
      </w:r>
      <w:r w:rsidR="00E83F9E">
        <w:rPr>
          <w:rFonts w:cstheme="minorHAnsi"/>
          <w:b/>
          <w:sz w:val="21"/>
          <w:szCs w:val="21"/>
          <w:highlight w:val="yellow"/>
          <w:u w:val="single"/>
        </w:rPr>
        <w:t xml:space="preserve">met </w:t>
      </w:r>
      <w:r w:rsidR="00DE69A1" w:rsidRPr="00DE69A1">
        <w:rPr>
          <w:rFonts w:cstheme="minorHAnsi"/>
          <w:b/>
          <w:sz w:val="21"/>
          <w:szCs w:val="21"/>
          <w:highlight w:val="yellow"/>
          <w:u w:val="single"/>
        </w:rPr>
        <w:t xml:space="preserve">on Wednesday, </w:t>
      </w:r>
      <w:r w:rsidR="00765DAF">
        <w:rPr>
          <w:rFonts w:cstheme="minorHAnsi"/>
          <w:b/>
          <w:sz w:val="21"/>
          <w:szCs w:val="21"/>
          <w:highlight w:val="yellow"/>
          <w:u w:val="single"/>
        </w:rPr>
        <w:t xml:space="preserve">5/30 </w:t>
      </w:r>
      <w:r w:rsidR="00E83F9E">
        <w:rPr>
          <w:rFonts w:cstheme="minorHAnsi"/>
          <w:b/>
          <w:sz w:val="21"/>
          <w:szCs w:val="21"/>
          <w:highlight w:val="yellow"/>
          <w:u w:val="single"/>
        </w:rPr>
        <w:t>and approved three bills (two bills related to rates for direct care workers and a bill pertaining to count</w:t>
      </w:r>
      <w:r w:rsidR="00765DAF">
        <w:rPr>
          <w:rFonts w:cstheme="minorHAnsi"/>
          <w:b/>
          <w:sz w:val="21"/>
          <w:szCs w:val="21"/>
          <w:highlight w:val="yellow"/>
          <w:u w:val="single"/>
        </w:rPr>
        <w:t>y</w:t>
      </w:r>
      <w:r w:rsidR="00E83F9E">
        <w:rPr>
          <w:rFonts w:cstheme="minorHAnsi"/>
          <w:b/>
          <w:sz w:val="21"/>
          <w:szCs w:val="21"/>
          <w:highlight w:val="yellow"/>
          <w:u w:val="single"/>
        </w:rPr>
        <w:t xml:space="preserve"> jail funding)</w:t>
      </w:r>
      <w:r w:rsidR="00DE69A1" w:rsidRPr="00E83F9E">
        <w:rPr>
          <w:rFonts w:cstheme="minorHAnsi"/>
          <w:b/>
          <w:sz w:val="21"/>
          <w:szCs w:val="21"/>
          <w:highlight w:val="yellow"/>
          <w:u w:val="single"/>
        </w:rPr>
        <w:t>.</w:t>
      </w:r>
      <w:r w:rsidR="00E83F9E" w:rsidRPr="00E83F9E">
        <w:rPr>
          <w:rFonts w:cstheme="minorHAnsi"/>
          <w:b/>
          <w:sz w:val="21"/>
          <w:szCs w:val="21"/>
          <w:highlight w:val="yellow"/>
          <w:u w:val="single"/>
        </w:rPr>
        <w:t xml:space="preserve">  Numerous other bills were not addressed.  The Legislature would still need to convene for a Special Session in order for these </w:t>
      </w:r>
      <w:bookmarkStart w:id="0" w:name="_GoBack"/>
      <w:bookmarkEnd w:id="0"/>
      <w:r w:rsidR="00E83F9E" w:rsidRPr="00E83F9E">
        <w:rPr>
          <w:rFonts w:cstheme="minorHAnsi"/>
          <w:b/>
          <w:sz w:val="21"/>
          <w:szCs w:val="21"/>
          <w:highlight w:val="yellow"/>
          <w:u w:val="single"/>
        </w:rPr>
        <w:t>bills to be enacted.</w:t>
      </w:r>
    </w:p>
    <w:p w14:paraId="4589FBBD" w14:textId="77777777" w:rsidR="00327638" w:rsidRPr="00327638" w:rsidRDefault="00327638" w:rsidP="00C67142">
      <w:pPr>
        <w:spacing w:after="0" w:line="240" w:lineRule="auto"/>
        <w:contextualSpacing/>
        <w:rPr>
          <w:rFonts w:cstheme="minorHAnsi"/>
          <w:b/>
          <w:sz w:val="8"/>
          <w:szCs w:val="8"/>
        </w:rPr>
      </w:pPr>
    </w:p>
    <w:p w14:paraId="5C504A52" w14:textId="6F15B96E" w:rsidR="00327638" w:rsidRPr="00327638" w:rsidRDefault="00327638" w:rsidP="00C67142">
      <w:pPr>
        <w:spacing w:after="0" w:line="240" w:lineRule="auto"/>
        <w:contextualSpacing/>
        <w:rPr>
          <w:rFonts w:cstheme="minorHAnsi"/>
          <w:b/>
          <w:sz w:val="21"/>
          <w:szCs w:val="21"/>
        </w:rPr>
      </w:pPr>
      <w:r w:rsidRPr="00327638">
        <w:rPr>
          <w:rFonts w:cstheme="minorHAnsi"/>
          <w:b/>
          <w:sz w:val="21"/>
          <w:szCs w:val="21"/>
          <w:highlight w:val="yellow"/>
          <w:u w:val="single"/>
        </w:rPr>
        <w:t>The following bills successfully had their vetoes overridden</w:t>
      </w:r>
      <w:r>
        <w:rPr>
          <w:rFonts w:cstheme="minorHAnsi"/>
          <w:b/>
          <w:sz w:val="21"/>
          <w:szCs w:val="21"/>
          <w:highlight w:val="yellow"/>
          <w:u w:val="single"/>
        </w:rPr>
        <w:t xml:space="preserve"> and became Public law</w:t>
      </w:r>
      <w:r w:rsidRPr="00327638">
        <w:rPr>
          <w:rFonts w:cstheme="minorHAnsi"/>
          <w:b/>
          <w:sz w:val="21"/>
          <w:szCs w:val="21"/>
          <w:highlight w:val="yellow"/>
          <w:u w:val="single"/>
        </w:rPr>
        <w:t>:</w:t>
      </w:r>
    </w:p>
    <w:p w14:paraId="145DB832" w14:textId="50192B65" w:rsidR="00C67142" w:rsidRDefault="00C67142" w:rsidP="008E1104">
      <w:pPr>
        <w:pStyle w:val="ListParagraph"/>
        <w:numPr>
          <w:ilvl w:val="0"/>
          <w:numId w:val="1"/>
        </w:numPr>
        <w:spacing w:after="0" w:line="240" w:lineRule="auto"/>
        <w:ind w:left="360"/>
        <w:rPr>
          <w:rFonts w:cstheme="minorHAnsi"/>
          <w:b/>
          <w:sz w:val="21"/>
          <w:szCs w:val="21"/>
        </w:rPr>
      </w:pPr>
      <w:r w:rsidRPr="006A6C91">
        <w:rPr>
          <w:rFonts w:cstheme="minorHAnsi"/>
          <w:sz w:val="21"/>
          <w:szCs w:val="21"/>
        </w:rPr>
        <w:t>LD 1771 An Act To Stabilize Vulnerable Famili</w:t>
      </w:r>
      <w:r w:rsidR="00A1352B" w:rsidRPr="006A6C91">
        <w:rPr>
          <w:rFonts w:cstheme="minorHAnsi"/>
          <w:sz w:val="21"/>
          <w:szCs w:val="21"/>
        </w:rPr>
        <w:t>es, sponsored by Senator Volk.</w:t>
      </w:r>
      <w:r w:rsidR="00327638">
        <w:rPr>
          <w:rFonts w:cstheme="minorHAnsi"/>
          <w:sz w:val="21"/>
          <w:szCs w:val="21"/>
        </w:rPr>
        <w:t xml:space="preserve"> </w:t>
      </w:r>
    </w:p>
    <w:p w14:paraId="1C7FFBF1" w14:textId="2F77913F" w:rsidR="00327638" w:rsidRPr="00327638" w:rsidRDefault="00327638" w:rsidP="00327638">
      <w:pPr>
        <w:pStyle w:val="ListParagraph"/>
        <w:numPr>
          <w:ilvl w:val="0"/>
          <w:numId w:val="1"/>
        </w:numPr>
        <w:spacing w:after="0" w:line="240" w:lineRule="auto"/>
        <w:ind w:left="360"/>
        <w:rPr>
          <w:rFonts w:cstheme="minorHAnsi"/>
          <w:b/>
          <w:sz w:val="21"/>
          <w:szCs w:val="21"/>
        </w:rPr>
      </w:pPr>
      <w:r>
        <w:rPr>
          <w:rFonts w:cstheme="minorHAnsi"/>
          <w:sz w:val="21"/>
          <w:szCs w:val="21"/>
        </w:rPr>
        <w:t xml:space="preserve">LD 1892 </w:t>
      </w:r>
      <w:r w:rsidRPr="00327638">
        <w:rPr>
          <w:rFonts w:cstheme="minorHAnsi"/>
          <w:sz w:val="21"/>
          <w:szCs w:val="21"/>
        </w:rPr>
        <w:t>An Act To Clarify the Prescribing and Dispensing of Naloxone Hydrochloride by Pharmacists</w:t>
      </w:r>
      <w:r>
        <w:rPr>
          <w:rFonts w:cstheme="minorHAnsi"/>
          <w:sz w:val="21"/>
          <w:szCs w:val="21"/>
        </w:rPr>
        <w:t>, sponsored by Speaker Gideon.</w:t>
      </w:r>
    </w:p>
    <w:p w14:paraId="5B73F5C2" w14:textId="59201C10" w:rsidR="00327638" w:rsidRPr="006A6C91" w:rsidRDefault="00327638" w:rsidP="00327638">
      <w:pPr>
        <w:pStyle w:val="ListParagraph"/>
        <w:numPr>
          <w:ilvl w:val="0"/>
          <w:numId w:val="1"/>
        </w:numPr>
        <w:spacing w:after="0" w:line="240" w:lineRule="auto"/>
        <w:ind w:left="360"/>
        <w:rPr>
          <w:rFonts w:cstheme="minorHAnsi"/>
          <w:b/>
          <w:sz w:val="21"/>
          <w:szCs w:val="21"/>
        </w:rPr>
      </w:pPr>
      <w:r>
        <w:rPr>
          <w:rFonts w:cstheme="minorHAnsi"/>
          <w:sz w:val="21"/>
          <w:szCs w:val="21"/>
        </w:rPr>
        <w:t>LD 1740 An Act To Establish the Crimes of Criminal Forced Labor and Aggravated Criminal Forced Labor in the Maine Criminal Code, sponsored by Senator Volk.</w:t>
      </w:r>
    </w:p>
    <w:p w14:paraId="5B1C092D" w14:textId="77777777" w:rsidR="00C67142" w:rsidRPr="00C67142" w:rsidRDefault="00C67142" w:rsidP="00C67142">
      <w:pPr>
        <w:spacing w:after="0" w:line="240" w:lineRule="auto"/>
        <w:rPr>
          <w:rFonts w:cstheme="minorHAnsi"/>
          <w:b/>
          <w:sz w:val="8"/>
          <w:szCs w:val="8"/>
          <w:highlight w:val="yellow"/>
        </w:rPr>
      </w:pPr>
    </w:p>
    <w:p w14:paraId="60137988" w14:textId="2D8583B0" w:rsidR="00C67142" w:rsidRPr="00C67142" w:rsidRDefault="00C67142" w:rsidP="00C67142">
      <w:pPr>
        <w:spacing w:after="0" w:line="240" w:lineRule="auto"/>
        <w:rPr>
          <w:rFonts w:cstheme="minorHAnsi"/>
          <w:b/>
          <w:sz w:val="21"/>
          <w:szCs w:val="21"/>
        </w:rPr>
      </w:pPr>
      <w:r w:rsidRPr="00C67142">
        <w:rPr>
          <w:rFonts w:cstheme="minorHAnsi"/>
          <w:b/>
          <w:sz w:val="21"/>
          <w:szCs w:val="21"/>
          <w:highlight w:val="yellow"/>
        </w:rPr>
        <w:t xml:space="preserve">The following bills are on the Special Appropriations Table, </w:t>
      </w:r>
      <w:r w:rsidR="00E83F9E" w:rsidRPr="0096238A">
        <w:rPr>
          <w:b/>
          <w:sz w:val="21"/>
          <w:szCs w:val="21"/>
          <w:highlight w:val="yellow"/>
        </w:rPr>
        <w:t xml:space="preserve">will die </w:t>
      </w:r>
      <w:r w:rsidR="00E83F9E">
        <w:rPr>
          <w:b/>
          <w:sz w:val="21"/>
          <w:szCs w:val="21"/>
          <w:highlight w:val="yellow"/>
        </w:rPr>
        <w:t>on the Table</w:t>
      </w:r>
      <w:r w:rsidR="00E83F9E" w:rsidRPr="0096238A">
        <w:rPr>
          <w:b/>
          <w:sz w:val="21"/>
          <w:szCs w:val="21"/>
          <w:highlight w:val="yellow"/>
        </w:rPr>
        <w:t xml:space="preserve"> unless addressed in a Special Session</w:t>
      </w:r>
      <w:r w:rsidRPr="00C67142">
        <w:rPr>
          <w:rFonts w:cstheme="minorHAnsi"/>
          <w:b/>
          <w:sz w:val="21"/>
          <w:szCs w:val="21"/>
          <w:highlight w:val="yellow"/>
        </w:rPr>
        <w:t>:</w:t>
      </w:r>
    </w:p>
    <w:p w14:paraId="2B11D1DD" w14:textId="4DA64251" w:rsidR="00722280" w:rsidRPr="00C67142" w:rsidRDefault="00722280" w:rsidP="00ED7931">
      <w:pPr>
        <w:pStyle w:val="ListParagraph"/>
        <w:numPr>
          <w:ilvl w:val="0"/>
          <w:numId w:val="1"/>
        </w:numPr>
        <w:spacing w:after="0" w:line="240" w:lineRule="auto"/>
        <w:ind w:left="360"/>
        <w:rPr>
          <w:rFonts w:cstheme="minorHAnsi"/>
          <w:b/>
          <w:sz w:val="21"/>
          <w:szCs w:val="21"/>
        </w:rPr>
      </w:pPr>
      <w:r w:rsidRPr="00C67142">
        <w:rPr>
          <w:rFonts w:cstheme="minorHAnsi"/>
          <w:sz w:val="21"/>
          <w:szCs w:val="21"/>
        </w:rPr>
        <w:t>L</w:t>
      </w:r>
      <w:r w:rsidR="00886CA0" w:rsidRPr="00C67142">
        <w:rPr>
          <w:rFonts w:cstheme="minorHAnsi"/>
          <w:sz w:val="21"/>
          <w:szCs w:val="21"/>
        </w:rPr>
        <w:t>D 1711</w:t>
      </w:r>
      <w:r w:rsidRPr="00C67142">
        <w:rPr>
          <w:rFonts w:cstheme="minorHAnsi"/>
          <w:sz w:val="21"/>
          <w:szCs w:val="21"/>
        </w:rPr>
        <w:t xml:space="preserve"> An Act To Save Lives and Create the Homeless Opioid User Service Engagement Pilot Project, sponsored by Rep. Gattine.</w:t>
      </w:r>
      <w:r w:rsidR="00D2644B" w:rsidRPr="00C67142">
        <w:rPr>
          <w:rFonts w:cstheme="minorHAnsi"/>
          <w:b/>
          <w:sz w:val="21"/>
          <w:szCs w:val="21"/>
        </w:rPr>
        <w:t xml:space="preserve"> </w:t>
      </w:r>
      <w:r w:rsidR="001200D7" w:rsidRPr="00C67142">
        <w:rPr>
          <w:rFonts w:cstheme="minorHAnsi"/>
          <w:b/>
          <w:sz w:val="21"/>
          <w:szCs w:val="21"/>
        </w:rPr>
        <w:t xml:space="preserve"> </w:t>
      </w:r>
      <w:r w:rsidR="006F575A" w:rsidRPr="00C67142">
        <w:rPr>
          <w:rFonts w:cstheme="minorHAnsi"/>
          <w:b/>
          <w:sz w:val="21"/>
          <w:szCs w:val="21"/>
        </w:rPr>
        <w:t xml:space="preserve"> </w:t>
      </w:r>
    </w:p>
    <w:p w14:paraId="65ACE652" w14:textId="22EF9F12" w:rsidR="00722280" w:rsidRPr="00C67142" w:rsidRDefault="00722280" w:rsidP="00886CA0">
      <w:pPr>
        <w:pStyle w:val="ListParagraph"/>
        <w:numPr>
          <w:ilvl w:val="0"/>
          <w:numId w:val="1"/>
        </w:numPr>
        <w:spacing w:after="0" w:line="240" w:lineRule="auto"/>
        <w:ind w:left="360"/>
        <w:rPr>
          <w:rFonts w:cstheme="minorHAnsi"/>
          <w:b/>
          <w:sz w:val="21"/>
          <w:szCs w:val="21"/>
        </w:rPr>
      </w:pPr>
      <w:r w:rsidRPr="00C67142">
        <w:rPr>
          <w:rFonts w:cstheme="minorHAnsi"/>
          <w:sz w:val="21"/>
          <w:szCs w:val="21"/>
        </w:rPr>
        <w:t>L</w:t>
      </w:r>
      <w:r w:rsidR="00886CA0" w:rsidRPr="00C67142">
        <w:rPr>
          <w:rFonts w:cstheme="minorHAnsi"/>
          <w:sz w:val="21"/>
          <w:szCs w:val="21"/>
        </w:rPr>
        <w:t>D 1713</w:t>
      </w:r>
      <w:r w:rsidRPr="00C67142">
        <w:rPr>
          <w:rFonts w:cstheme="minorHAnsi"/>
          <w:sz w:val="21"/>
          <w:szCs w:val="21"/>
        </w:rPr>
        <w:t xml:space="preserve"> An Act To Improve Housing Support in the Bridging Rental Assistance Program, sponsored by Rep. Gattine</w:t>
      </w:r>
      <w:r w:rsidR="00886CA0" w:rsidRPr="00C67142">
        <w:rPr>
          <w:rFonts w:cstheme="minorHAnsi"/>
          <w:sz w:val="21"/>
          <w:szCs w:val="21"/>
        </w:rPr>
        <w:t>.</w:t>
      </w:r>
      <w:r w:rsidR="00832C4E" w:rsidRPr="00C67142">
        <w:rPr>
          <w:rFonts w:cstheme="minorHAnsi"/>
          <w:sz w:val="21"/>
          <w:szCs w:val="21"/>
        </w:rPr>
        <w:t xml:space="preserve">  </w:t>
      </w:r>
    </w:p>
    <w:p w14:paraId="462BC081" w14:textId="77777777" w:rsidR="00C67142" w:rsidRPr="00C67142" w:rsidRDefault="00D2644B" w:rsidP="00CE364A">
      <w:pPr>
        <w:pStyle w:val="ListParagraph"/>
        <w:numPr>
          <w:ilvl w:val="0"/>
          <w:numId w:val="1"/>
        </w:numPr>
        <w:spacing w:after="0" w:line="240" w:lineRule="auto"/>
        <w:ind w:left="360"/>
        <w:rPr>
          <w:rFonts w:cstheme="minorHAnsi"/>
          <w:sz w:val="21"/>
          <w:szCs w:val="21"/>
        </w:rPr>
      </w:pPr>
      <w:r w:rsidRPr="00C67142">
        <w:rPr>
          <w:rFonts w:cstheme="minorHAnsi"/>
          <w:sz w:val="21"/>
          <w:szCs w:val="21"/>
        </w:rPr>
        <w:t>LD 1682 An Act To Ensure the Quality of and Increase Access to Recovery Residences.</w:t>
      </w:r>
      <w:r w:rsidR="00B5719B" w:rsidRPr="00C67142">
        <w:rPr>
          <w:rFonts w:cstheme="minorHAnsi"/>
          <w:b/>
          <w:sz w:val="21"/>
          <w:szCs w:val="21"/>
        </w:rPr>
        <w:t xml:space="preserve"> </w:t>
      </w:r>
      <w:r w:rsidR="001200D7" w:rsidRPr="00C67142">
        <w:rPr>
          <w:rFonts w:cstheme="minorHAnsi"/>
          <w:b/>
          <w:sz w:val="21"/>
          <w:szCs w:val="21"/>
        </w:rPr>
        <w:t xml:space="preserve"> </w:t>
      </w:r>
    </w:p>
    <w:p w14:paraId="786FE1D9" w14:textId="77777777" w:rsidR="00C67142" w:rsidRPr="00C67142" w:rsidRDefault="00C67142" w:rsidP="00C67142">
      <w:pPr>
        <w:spacing w:after="0" w:line="240" w:lineRule="auto"/>
        <w:rPr>
          <w:rFonts w:cstheme="minorHAnsi"/>
          <w:sz w:val="8"/>
          <w:szCs w:val="8"/>
        </w:rPr>
      </w:pPr>
    </w:p>
    <w:p w14:paraId="23E87923" w14:textId="47ED5F5A" w:rsidR="00C67142" w:rsidRPr="00C67142" w:rsidRDefault="00C67142" w:rsidP="00C67142">
      <w:pPr>
        <w:spacing w:after="0" w:line="240" w:lineRule="auto"/>
        <w:rPr>
          <w:rFonts w:cstheme="minorHAnsi"/>
          <w:b/>
          <w:sz w:val="21"/>
          <w:szCs w:val="21"/>
        </w:rPr>
      </w:pPr>
      <w:r w:rsidRPr="00C67142">
        <w:rPr>
          <w:rFonts w:cstheme="minorHAnsi"/>
          <w:b/>
          <w:sz w:val="21"/>
          <w:szCs w:val="21"/>
        </w:rPr>
        <w:t>Other bill(s) of note:</w:t>
      </w:r>
    </w:p>
    <w:p w14:paraId="488941E9" w14:textId="3DAA6082" w:rsidR="00E07218" w:rsidRPr="00C67142" w:rsidRDefault="00E07218" w:rsidP="00E07218">
      <w:pPr>
        <w:pStyle w:val="ListParagraph"/>
        <w:numPr>
          <w:ilvl w:val="0"/>
          <w:numId w:val="1"/>
        </w:numPr>
        <w:spacing w:after="0" w:line="240" w:lineRule="auto"/>
        <w:ind w:left="360"/>
        <w:rPr>
          <w:b/>
          <w:sz w:val="21"/>
          <w:szCs w:val="21"/>
        </w:rPr>
      </w:pPr>
      <w:r w:rsidRPr="00C67142">
        <w:rPr>
          <w:sz w:val="21"/>
          <w:szCs w:val="21"/>
        </w:rPr>
        <w:t xml:space="preserve">LD 1873 An Act To Align State-funded Benefits with Federal Eligibility Standards, sponsored by Rep. Sanderson (Governor’s bill).  </w:t>
      </w:r>
      <w:r w:rsidR="00C67142" w:rsidRPr="00C67142">
        <w:rPr>
          <w:b/>
          <w:sz w:val="21"/>
          <w:szCs w:val="21"/>
          <w:highlight w:val="yellow"/>
        </w:rPr>
        <w:t>The House voted 79 to 69 (with 3 absent) to indefinitely postpone.  Sent to the Senate for concurrenc</w:t>
      </w:r>
      <w:r w:rsidR="00C67142" w:rsidRPr="0096238A">
        <w:rPr>
          <w:b/>
          <w:sz w:val="21"/>
          <w:szCs w:val="21"/>
          <w:highlight w:val="yellow"/>
        </w:rPr>
        <w:t>e</w:t>
      </w:r>
      <w:r w:rsidR="0096238A" w:rsidRPr="0096238A">
        <w:rPr>
          <w:b/>
          <w:sz w:val="21"/>
          <w:szCs w:val="21"/>
          <w:highlight w:val="yellow"/>
        </w:rPr>
        <w:t>.  The bill will die between chambers unless addressed in a Special Session.</w:t>
      </w:r>
    </w:p>
    <w:p w14:paraId="799D4B15" w14:textId="1DACFA20" w:rsidR="00D2644B" w:rsidRPr="00A72B65" w:rsidRDefault="009A29B9" w:rsidP="00F4601C">
      <w:pPr>
        <w:spacing w:after="0" w:line="240" w:lineRule="auto"/>
        <w:contextualSpacing/>
        <w:rPr>
          <w:rFonts w:ascii="Calibri" w:hAnsi="Calibri" w:cs="Calibri"/>
          <w:sz w:val="21"/>
          <w:szCs w:val="21"/>
        </w:rPr>
      </w:pPr>
      <w:r w:rsidRPr="00A72B65">
        <w:rPr>
          <w:rFonts w:cstheme="minorHAnsi"/>
          <w:b/>
          <w:sz w:val="21"/>
          <w:szCs w:val="21"/>
        </w:rPr>
        <w:t>DHHS 1115 Waiver Application</w:t>
      </w:r>
      <w:r w:rsidR="00E43F7D" w:rsidRPr="00A72B65">
        <w:rPr>
          <w:rFonts w:cstheme="minorHAnsi"/>
          <w:b/>
          <w:sz w:val="21"/>
          <w:szCs w:val="21"/>
        </w:rPr>
        <w:t xml:space="preserve"> </w:t>
      </w:r>
      <w:r w:rsidR="00D2644B" w:rsidRPr="00A72B65">
        <w:rPr>
          <w:rFonts w:cstheme="minorHAnsi"/>
          <w:sz w:val="21"/>
          <w:szCs w:val="21"/>
        </w:rPr>
        <w:t xml:space="preserve">– </w:t>
      </w:r>
      <w:r w:rsidR="00D2644B" w:rsidRPr="00A72B65">
        <w:rPr>
          <w:rFonts w:ascii="Calibri" w:hAnsi="Calibri" w:cs="Calibri"/>
          <w:sz w:val="21"/>
          <w:szCs w:val="21"/>
        </w:rPr>
        <w:t xml:space="preserve">On 1/11, the Trump Administration issued guidance to states that </w:t>
      </w:r>
      <w:r w:rsidR="00197F58" w:rsidRPr="00A72B65">
        <w:rPr>
          <w:rFonts w:ascii="Calibri" w:hAnsi="Calibri" w:cs="Calibri"/>
          <w:sz w:val="21"/>
          <w:szCs w:val="21"/>
        </w:rPr>
        <w:t xml:space="preserve">allows </w:t>
      </w:r>
      <w:r w:rsidR="00D2644B" w:rsidRPr="00A72B65">
        <w:rPr>
          <w:rFonts w:ascii="Calibri" w:hAnsi="Calibri" w:cs="Calibri"/>
          <w:sz w:val="21"/>
          <w:szCs w:val="21"/>
        </w:rPr>
        <w:t xml:space="preserve">work requirements as part of the Medicaid program.  Though this is not a formal update on Maine’s 1115 Waiver application, one of the reforms included in its application was establishing work requirements for Medicaid recipients. </w:t>
      </w:r>
      <w:r w:rsidR="00230DEB" w:rsidRPr="00A72B65">
        <w:rPr>
          <w:rFonts w:ascii="Calibri" w:hAnsi="Calibri" w:cs="Calibri"/>
          <w:sz w:val="21"/>
          <w:szCs w:val="21"/>
        </w:rPr>
        <w:t xml:space="preserve"> </w:t>
      </w:r>
    </w:p>
    <w:sectPr w:rsidR="00D2644B" w:rsidRPr="00A72B65"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A2E83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2"/>
  </w:num>
  <w:num w:numId="4">
    <w:abstractNumId w:val="5"/>
  </w:num>
  <w:num w:numId="5">
    <w:abstractNumId w:val="1"/>
  </w:num>
  <w:num w:numId="6">
    <w:abstractNumId w:val="0"/>
  </w:num>
  <w:num w:numId="7">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90ACE"/>
    <w:rsid w:val="0009244D"/>
    <w:rsid w:val="00095BDB"/>
    <w:rsid w:val="00096B4C"/>
    <w:rsid w:val="000973E3"/>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C0DFA"/>
    <w:rsid w:val="001C68DB"/>
    <w:rsid w:val="001D5470"/>
    <w:rsid w:val="001D547C"/>
    <w:rsid w:val="001E34D2"/>
    <w:rsid w:val="001E7103"/>
    <w:rsid w:val="001E7362"/>
    <w:rsid w:val="001F65EF"/>
    <w:rsid w:val="00200455"/>
    <w:rsid w:val="002022ED"/>
    <w:rsid w:val="0020415A"/>
    <w:rsid w:val="00206683"/>
    <w:rsid w:val="002120F7"/>
    <w:rsid w:val="00216543"/>
    <w:rsid w:val="00216786"/>
    <w:rsid w:val="0021758F"/>
    <w:rsid w:val="002275BD"/>
    <w:rsid w:val="002277D9"/>
    <w:rsid w:val="00230DEB"/>
    <w:rsid w:val="00232212"/>
    <w:rsid w:val="002431D9"/>
    <w:rsid w:val="0025492E"/>
    <w:rsid w:val="00254B72"/>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9081C"/>
    <w:rsid w:val="00394035"/>
    <w:rsid w:val="003B1E47"/>
    <w:rsid w:val="003B1FC3"/>
    <w:rsid w:val="003B4CD7"/>
    <w:rsid w:val="003C3145"/>
    <w:rsid w:val="003D08E8"/>
    <w:rsid w:val="003D177E"/>
    <w:rsid w:val="003E236E"/>
    <w:rsid w:val="003E469B"/>
    <w:rsid w:val="003E5A86"/>
    <w:rsid w:val="003E7DB9"/>
    <w:rsid w:val="003F30E7"/>
    <w:rsid w:val="003F33FB"/>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621B1"/>
    <w:rsid w:val="00462909"/>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64"/>
    <w:rsid w:val="006848F5"/>
    <w:rsid w:val="00687050"/>
    <w:rsid w:val="00687E70"/>
    <w:rsid w:val="00695C78"/>
    <w:rsid w:val="006A4801"/>
    <w:rsid w:val="006A6C91"/>
    <w:rsid w:val="006B23B8"/>
    <w:rsid w:val="006B5D94"/>
    <w:rsid w:val="006B7C7C"/>
    <w:rsid w:val="006C2BEA"/>
    <w:rsid w:val="006C6458"/>
    <w:rsid w:val="006C7E44"/>
    <w:rsid w:val="006D1A0F"/>
    <w:rsid w:val="006D6006"/>
    <w:rsid w:val="006E2913"/>
    <w:rsid w:val="006E5142"/>
    <w:rsid w:val="006E713D"/>
    <w:rsid w:val="006F0AB5"/>
    <w:rsid w:val="006F128F"/>
    <w:rsid w:val="006F575A"/>
    <w:rsid w:val="006F7345"/>
    <w:rsid w:val="006F75B8"/>
    <w:rsid w:val="00715D46"/>
    <w:rsid w:val="00716C28"/>
    <w:rsid w:val="007205ED"/>
    <w:rsid w:val="00721461"/>
    <w:rsid w:val="00721960"/>
    <w:rsid w:val="00722280"/>
    <w:rsid w:val="00722AE1"/>
    <w:rsid w:val="00722C0E"/>
    <w:rsid w:val="00727D82"/>
    <w:rsid w:val="00733598"/>
    <w:rsid w:val="00735925"/>
    <w:rsid w:val="00736B0E"/>
    <w:rsid w:val="007431D1"/>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60558"/>
    <w:rsid w:val="00863341"/>
    <w:rsid w:val="00865BFA"/>
    <w:rsid w:val="008706B8"/>
    <w:rsid w:val="00873CB3"/>
    <w:rsid w:val="00875B8F"/>
    <w:rsid w:val="0087794C"/>
    <w:rsid w:val="00881A97"/>
    <w:rsid w:val="00886CA0"/>
    <w:rsid w:val="00890772"/>
    <w:rsid w:val="008915DE"/>
    <w:rsid w:val="00891D15"/>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545"/>
    <w:rsid w:val="009972F0"/>
    <w:rsid w:val="009A1440"/>
    <w:rsid w:val="009A29B9"/>
    <w:rsid w:val="009C4073"/>
    <w:rsid w:val="009D4989"/>
    <w:rsid w:val="009E3C9D"/>
    <w:rsid w:val="009E6A89"/>
    <w:rsid w:val="009F5755"/>
    <w:rsid w:val="009F7C57"/>
    <w:rsid w:val="00A12C9B"/>
    <w:rsid w:val="00A1352B"/>
    <w:rsid w:val="00A1740F"/>
    <w:rsid w:val="00A21796"/>
    <w:rsid w:val="00A30F28"/>
    <w:rsid w:val="00A313C5"/>
    <w:rsid w:val="00A32DB1"/>
    <w:rsid w:val="00A379DE"/>
    <w:rsid w:val="00A4294E"/>
    <w:rsid w:val="00A437FC"/>
    <w:rsid w:val="00A44A39"/>
    <w:rsid w:val="00A606B4"/>
    <w:rsid w:val="00A62CE2"/>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5B6F"/>
    <w:rsid w:val="00B078B2"/>
    <w:rsid w:val="00B1674D"/>
    <w:rsid w:val="00B16C1D"/>
    <w:rsid w:val="00B26F35"/>
    <w:rsid w:val="00B31F1B"/>
    <w:rsid w:val="00B5719B"/>
    <w:rsid w:val="00B64B8B"/>
    <w:rsid w:val="00B74C45"/>
    <w:rsid w:val="00B83F0F"/>
    <w:rsid w:val="00B935BB"/>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455AB"/>
    <w:rsid w:val="00C51094"/>
    <w:rsid w:val="00C53B7D"/>
    <w:rsid w:val="00C61339"/>
    <w:rsid w:val="00C61B36"/>
    <w:rsid w:val="00C67142"/>
    <w:rsid w:val="00C720EE"/>
    <w:rsid w:val="00C811EA"/>
    <w:rsid w:val="00C83168"/>
    <w:rsid w:val="00C90EEB"/>
    <w:rsid w:val="00CB0E72"/>
    <w:rsid w:val="00CB1D8B"/>
    <w:rsid w:val="00CB5062"/>
    <w:rsid w:val="00CB7EBB"/>
    <w:rsid w:val="00CC0542"/>
    <w:rsid w:val="00CC3DC9"/>
    <w:rsid w:val="00CC7EFE"/>
    <w:rsid w:val="00CD6E13"/>
    <w:rsid w:val="00CE6AD1"/>
    <w:rsid w:val="00CE7E1D"/>
    <w:rsid w:val="00CF1D16"/>
    <w:rsid w:val="00CF2EC2"/>
    <w:rsid w:val="00CF36EE"/>
    <w:rsid w:val="00CF6E5C"/>
    <w:rsid w:val="00D0634B"/>
    <w:rsid w:val="00D06756"/>
    <w:rsid w:val="00D12F79"/>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741C"/>
    <w:rsid w:val="00D878C0"/>
    <w:rsid w:val="00D93256"/>
    <w:rsid w:val="00D94EEA"/>
    <w:rsid w:val="00DA3911"/>
    <w:rsid w:val="00DB2AA2"/>
    <w:rsid w:val="00DB3039"/>
    <w:rsid w:val="00DC0386"/>
    <w:rsid w:val="00DC655D"/>
    <w:rsid w:val="00DD0190"/>
    <w:rsid w:val="00DD3DAF"/>
    <w:rsid w:val="00DE69A1"/>
    <w:rsid w:val="00DE6B53"/>
    <w:rsid w:val="00DF7C11"/>
    <w:rsid w:val="00E00C5F"/>
    <w:rsid w:val="00E02AF8"/>
    <w:rsid w:val="00E032B7"/>
    <w:rsid w:val="00E07218"/>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pp.us10.list-manage.com/track/click?u=fcb519d4a06d032e8e2bbf63f&amp;id=6638f9a365&amp;e=b7692ad2d9"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2B12AC-8D6A-4F73-89A6-75E096938E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purl.org/dc/terms/"/>
    <ds:schemaRef ds:uri="http://schemas.microsoft.com/office/2006/documentManagement/types"/>
    <ds:schemaRef ds:uri="http://schemas.openxmlformats.org/package/2006/metadata/core-properties"/>
    <ds:schemaRef ds:uri="92a8e6af-4002-40a0-a69a-326498427863"/>
    <ds:schemaRef ds:uri="http://www.w3.org/XML/1998/namespac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3</Pages>
  <Words>2178</Words>
  <Characters>12415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36</cp:revision>
  <cp:lastPrinted>2018-05-29T17:07:00Z</cp:lastPrinted>
  <dcterms:created xsi:type="dcterms:W3CDTF">2018-04-02T20:07:00Z</dcterms:created>
  <dcterms:modified xsi:type="dcterms:W3CDTF">2018-06-01T13:51:00Z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