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5286B" w14:textId="034690C8" w:rsidR="00AC1C66" w:rsidRPr="00A74EC4" w:rsidRDefault="00E9055C" w:rsidP="0054404A">
      <w:pPr>
        <w:spacing w:line="240" w:lineRule="auto"/>
        <w:contextualSpacing/>
        <w:rPr>
          <w:rFonts w:cstheme="minorHAnsi"/>
          <w:b/>
          <w:sz w:val="21"/>
          <w:szCs w:val="21"/>
        </w:rPr>
      </w:pPr>
      <w:r w:rsidRPr="00A74EC4">
        <w:rPr>
          <w:rFonts w:cstheme="minorHAnsi"/>
          <w:b/>
          <w:sz w:val="21"/>
          <w:szCs w:val="21"/>
        </w:rPr>
        <w:t xml:space="preserve">Policy/Advocacy Update – </w:t>
      </w:r>
      <w:r w:rsidR="002431D9">
        <w:rPr>
          <w:rFonts w:cstheme="minorHAnsi"/>
          <w:b/>
          <w:sz w:val="21"/>
          <w:szCs w:val="21"/>
        </w:rPr>
        <w:t>12</w:t>
      </w:r>
      <w:r w:rsidR="002817E7" w:rsidRPr="00A74EC4">
        <w:rPr>
          <w:rFonts w:cstheme="minorHAnsi"/>
          <w:b/>
          <w:sz w:val="21"/>
          <w:szCs w:val="21"/>
        </w:rPr>
        <w:t>/</w:t>
      </w:r>
      <w:r w:rsidR="00FE4781">
        <w:rPr>
          <w:rFonts w:cstheme="minorHAnsi"/>
          <w:b/>
          <w:sz w:val="21"/>
          <w:szCs w:val="21"/>
        </w:rPr>
        <w:t>26</w:t>
      </w:r>
      <w:r w:rsidR="00EF7C23" w:rsidRPr="00A74EC4">
        <w:rPr>
          <w:rFonts w:cstheme="minorHAnsi"/>
          <w:b/>
          <w:sz w:val="21"/>
          <w:szCs w:val="21"/>
        </w:rPr>
        <w:t>/2017</w:t>
      </w:r>
    </w:p>
    <w:p w14:paraId="09A2E1F6" w14:textId="77777777" w:rsidR="00183CE6" w:rsidRPr="00A74EC4" w:rsidRDefault="00183CE6" w:rsidP="0054404A">
      <w:pPr>
        <w:spacing w:line="240" w:lineRule="auto"/>
        <w:contextualSpacing/>
        <w:rPr>
          <w:rFonts w:cstheme="minorHAnsi"/>
          <w:b/>
          <w:sz w:val="12"/>
          <w:szCs w:val="12"/>
        </w:rPr>
      </w:pPr>
    </w:p>
    <w:p w14:paraId="703116E2" w14:textId="66DEBA6D" w:rsidR="00116143" w:rsidRPr="00A74EC4" w:rsidRDefault="00A73A3B" w:rsidP="0054404A">
      <w:pPr>
        <w:spacing w:line="240" w:lineRule="auto"/>
        <w:contextualSpacing/>
        <w:rPr>
          <w:rFonts w:cstheme="minorHAnsi"/>
          <w:b/>
          <w:sz w:val="21"/>
          <w:szCs w:val="21"/>
        </w:rPr>
      </w:pPr>
      <w:r w:rsidRPr="00A74EC4">
        <w:rPr>
          <w:rFonts w:cstheme="minorHAnsi"/>
          <w:b/>
          <w:sz w:val="21"/>
          <w:szCs w:val="21"/>
        </w:rPr>
        <w:t>Federal Legislation Update:</w:t>
      </w:r>
      <w:r w:rsidR="00200455" w:rsidRPr="00A74EC4">
        <w:rPr>
          <w:rFonts w:cstheme="minorHAnsi"/>
          <w:b/>
          <w:sz w:val="21"/>
          <w:szCs w:val="21"/>
        </w:rPr>
        <w:t xml:space="preserve">  </w:t>
      </w:r>
    </w:p>
    <w:p w14:paraId="31BA436B" w14:textId="78CD763B" w:rsidR="00722280" w:rsidRPr="005C45FE" w:rsidRDefault="00722280" w:rsidP="00722280">
      <w:pPr>
        <w:spacing w:line="240" w:lineRule="auto"/>
        <w:contextualSpacing/>
        <w:rPr>
          <w:sz w:val="21"/>
          <w:szCs w:val="21"/>
        </w:rPr>
      </w:pPr>
      <w:r w:rsidRPr="005C45FE">
        <w:rPr>
          <w:b/>
          <w:sz w:val="21"/>
          <w:szCs w:val="21"/>
        </w:rPr>
        <w:t>Tax</w:t>
      </w:r>
      <w:r w:rsidRPr="005C45FE">
        <w:rPr>
          <w:rFonts w:eastAsia="Times New Roman" w:cstheme="minorHAnsi"/>
          <w:b/>
          <w:color w:val="000000"/>
          <w:sz w:val="21"/>
          <w:szCs w:val="21"/>
        </w:rPr>
        <w:t xml:space="preserve"> Bill – </w:t>
      </w:r>
      <w:r w:rsidRPr="005C45FE">
        <w:rPr>
          <w:rFonts w:eastAsia="Times New Roman" w:cstheme="minorHAnsi"/>
          <w:b/>
          <w:i/>
          <w:color w:val="000000"/>
          <w:sz w:val="21"/>
          <w:szCs w:val="21"/>
          <w:highlight w:val="yellow"/>
          <w:u w:val="single"/>
        </w:rPr>
        <w:t>Update</w:t>
      </w:r>
      <w:r w:rsidRPr="005C45FE">
        <w:rPr>
          <w:rFonts w:eastAsia="Times New Roman" w:cstheme="minorHAnsi"/>
          <w:b/>
          <w:color w:val="000000"/>
          <w:sz w:val="21"/>
          <w:szCs w:val="21"/>
        </w:rPr>
        <w:t xml:space="preserve">:  </w:t>
      </w:r>
      <w:r w:rsidR="001D547C">
        <w:rPr>
          <w:sz w:val="21"/>
          <w:szCs w:val="21"/>
        </w:rPr>
        <w:t>Congress passed</w:t>
      </w:r>
      <w:r w:rsidR="00FE4781">
        <w:rPr>
          <w:sz w:val="21"/>
          <w:szCs w:val="21"/>
        </w:rPr>
        <w:t>, and the President has signed,</w:t>
      </w:r>
      <w:r w:rsidR="001D547C">
        <w:rPr>
          <w:sz w:val="21"/>
          <w:szCs w:val="21"/>
        </w:rPr>
        <w:t xml:space="preserve"> the Conference Committee tax bill</w:t>
      </w:r>
      <w:r w:rsidR="00FE4781">
        <w:rPr>
          <w:sz w:val="21"/>
          <w:szCs w:val="21"/>
        </w:rPr>
        <w:t xml:space="preserve">.  </w:t>
      </w:r>
      <w:r w:rsidR="00721461">
        <w:rPr>
          <w:sz w:val="21"/>
          <w:szCs w:val="21"/>
        </w:rPr>
        <w:t xml:space="preserve">The revised bill kept LIHTC and other affordable housing programs intact.  However, the bill </w:t>
      </w:r>
      <w:r w:rsidR="001D547C">
        <w:rPr>
          <w:sz w:val="21"/>
          <w:szCs w:val="21"/>
        </w:rPr>
        <w:t>is expected to</w:t>
      </w:r>
      <w:r w:rsidR="00721461">
        <w:rPr>
          <w:sz w:val="21"/>
          <w:szCs w:val="21"/>
        </w:rPr>
        <w:t xml:space="preserve"> increase the </w:t>
      </w:r>
      <w:r w:rsidRPr="005C45FE">
        <w:rPr>
          <w:sz w:val="21"/>
          <w:szCs w:val="21"/>
        </w:rPr>
        <w:t>deficit by $1.4</w:t>
      </w:r>
      <w:r w:rsidR="00721461">
        <w:rPr>
          <w:sz w:val="21"/>
          <w:szCs w:val="21"/>
        </w:rPr>
        <w:t>6</w:t>
      </w:r>
      <w:r w:rsidRPr="005C45FE">
        <w:rPr>
          <w:sz w:val="21"/>
          <w:szCs w:val="21"/>
        </w:rPr>
        <w:t xml:space="preserve"> trillion over a decade</w:t>
      </w:r>
      <w:r w:rsidR="001D547C">
        <w:rPr>
          <w:sz w:val="21"/>
          <w:szCs w:val="21"/>
        </w:rPr>
        <w:t xml:space="preserve"> (estimates range from $1 to $2.2 trillion)</w:t>
      </w:r>
      <w:r w:rsidRPr="005C45FE">
        <w:rPr>
          <w:sz w:val="21"/>
          <w:szCs w:val="21"/>
        </w:rPr>
        <w:t>, a move likely to lead to deep spending cuts to critical social safety net programs including those for affordable housing, health care, and services.   Any budget deficit such as this would have to be offset by drastic cuts to other programs, including on-Defense Discretionary (NDD) programs, including all HUD programs, and entitlement programs like Medicare, Medicaid, and Social Security.</w:t>
      </w:r>
    </w:p>
    <w:p w14:paraId="48AE7AE3" w14:textId="737A80E8" w:rsidR="00722280" w:rsidRPr="005C45FE" w:rsidRDefault="00722280" w:rsidP="00722280">
      <w:pPr>
        <w:spacing w:line="240" w:lineRule="auto"/>
        <w:contextualSpacing/>
        <w:rPr>
          <w:sz w:val="21"/>
          <w:szCs w:val="21"/>
        </w:rPr>
      </w:pPr>
      <w:r w:rsidRPr="005C45FE">
        <w:rPr>
          <w:sz w:val="21"/>
          <w:szCs w:val="21"/>
          <w:u w:val="single"/>
        </w:rPr>
        <w:t>Healthcare and Services:</w:t>
      </w:r>
      <w:r w:rsidRPr="005C45FE">
        <w:rPr>
          <w:b/>
          <w:sz w:val="21"/>
          <w:szCs w:val="21"/>
        </w:rPr>
        <w:t xml:space="preserve">  </w:t>
      </w:r>
      <w:r>
        <w:rPr>
          <w:sz w:val="21"/>
          <w:szCs w:val="21"/>
        </w:rPr>
        <w:t>The bill repeal</w:t>
      </w:r>
      <w:r w:rsidR="001D547C">
        <w:rPr>
          <w:sz w:val="21"/>
          <w:szCs w:val="21"/>
        </w:rPr>
        <w:t>s</w:t>
      </w:r>
      <w:r>
        <w:rPr>
          <w:sz w:val="21"/>
          <w:szCs w:val="21"/>
        </w:rPr>
        <w:t xml:space="preserve"> the Affordable Care Act’s (ACA) individual mandate, which </w:t>
      </w:r>
      <w:r w:rsidR="001D547C">
        <w:rPr>
          <w:sz w:val="21"/>
          <w:szCs w:val="21"/>
        </w:rPr>
        <w:t xml:space="preserve">is anticipated to leave </w:t>
      </w:r>
      <w:r>
        <w:rPr>
          <w:sz w:val="21"/>
          <w:szCs w:val="21"/>
        </w:rPr>
        <w:t xml:space="preserve">13 million people uninsured over the next decade.   Additionally, there will likely be cuts to Medicaid and Medicare due to the increase to the budget deficit, and a mechanism known as “PAYGO” which would create sequestration cuts across the board due to the Budget Control Act. </w:t>
      </w:r>
    </w:p>
    <w:p w14:paraId="68AD24B0" w14:textId="77777777" w:rsidR="00722280" w:rsidRPr="00FA4725" w:rsidRDefault="00722280" w:rsidP="00722280">
      <w:pPr>
        <w:spacing w:line="240" w:lineRule="auto"/>
        <w:contextualSpacing/>
        <w:rPr>
          <w:sz w:val="12"/>
          <w:szCs w:val="12"/>
        </w:rPr>
      </w:pPr>
    </w:p>
    <w:p w14:paraId="28618DB2" w14:textId="06731C4A" w:rsidR="00722280" w:rsidRPr="001D547C" w:rsidRDefault="00722280" w:rsidP="00722280">
      <w:pPr>
        <w:spacing w:line="240" w:lineRule="auto"/>
        <w:contextualSpacing/>
        <w:rPr>
          <w:sz w:val="21"/>
          <w:szCs w:val="21"/>
        </w:rPr>
      </w:pPr>
      <w:r w:rsidRPr="005C45FE">
        <w:rPr>
          <w:sz w:val="21"/>
          <w:szCs w:val="21"/>
        </w:rPr>
        <w:t xml:space="preserve">All told, the tax reform legislation </w:t>
      </w:r>
      <w:r w:rsidR="001D547C">
        <w:rPr>
          <w:sz w:val="21"/>
          <w:szCs w:val="21"/>
        </w:rPr>
        <w:t xml:space="preserve">provides </w:t>
      </w:r>
      <w:r w:rsidRPr="005C45FE">
        <w:rPr>
          <w:sz w:val="21"/>
          <w:szCs w:val="21"/>
        </w:rPr>
        <w:t>deep tax cuts to the wealthy and corporations, while low to middle-income people w</w:t>
      </w:r>
      <w:r w:rsidR="001D547C">
        <w:rPr>
          <w:sz w:val="21"/>
          <w:szCs w:val="21"/>
        </w:rPr>
        <w:t>ill</w:t>
      </w:r>
      <w:r w:rsidRPr="005C45FE">
        <w:rPr>
          <w:sz w:val="21"/>
          <w:szCs w:val="21"/>
        </w:rPr>
        <w:t xml:space="preserve"> </w:t>
      </w:r>
      <w:r w:rsidR="001D547C">
        <w:rPr>
          <w:sz w:val="21"/>
          <w:szCs w:val="21"/>
        </w:rPr>
        <w:t xml:space="preserve">likely </w:t>
      </w:r>
      <w:r w:rsidRPr="005C45FE">
        <w:rPr>
          <w:sz w:val="21"/>
          <w:szCs w:val="21"/>
        </w:rPr>
        <w:t xml:space="preserve">see no benefit, </w:t>
      </w:r>
      <w:r>
        <w:rPr>
          <w:sz w:val="21"/>
          <w:szCs w:val="21"/>
        </w:rPr>
        <w:t xml:space="preserve">some would see </w:t>
      </w:r>
      <w:r w:rsidRPr="005C45FE">
        <w:rPr>
          <w:sz w:val="21"/>
          <w:szCs w:val="21"/>
        </w:rPr>
        <w:t xml:space="preserve">steep tax increases over the next decade.  </w:t>
      </w:r>
      <w:r>
        <w:rPr>
          <w:rFonts w:eastAsia="Times New Roman" w:cstheme="minorHAnsi"/>
          <w:color w:val="000000"/>
          <w:sz w:val="21"/>
          <w:szCs w:val="21"/>
        </w:rPr>
        <w:t xml:space="preserve"> </w:t>
      </w:r>
    </w:p>
    <w:p w14:paraId="2F2ECEA4" w14:textId="77777777" w:rsidR="00722280" w:rsidRPr="00FA4725" w:rsidRDefault="00722280" w:rsidP="006848F5">
      <w:pPr>
        <w:spacing w:line="240" w:lineRule="auto"/>
        <w:contextualSpacing/>
        <w:rPr>
          <w:rFonts w:eastAsia="Times New Roman" w:cstheme="minorHAnsi"/>
          <w:b/>
          <w:bCs/>
          <w:color w:val="000000"/>
          <w:sz w:val="12"/>
          <w:szCs w:val="12"/>
        </w:rPr>
      </w:pPr>
    </w:p>
    <w:p w14:paraId="6482F1C9" w14:textId="73D8E621" w:rsidR="00722280" w:rsidRPr="00FA4725" w:rsidRDefault="00722280" w:rsidP="006848F5">
      <w:pPr>
        <w:spacing w:line="240" w:lineRule="auto"/>
        <w:contextualSpacing/>
        <w:rPr>
          <w:rFonts w:eastAsia="Times New Roman" w:cstheme="minorHAnsi"/>
          <w:color w:val="000000"/>
          <w:sz w:val="12"/>
          <w:szCs w:val="12"/>
        </w:rPr>
      </w:pPr>
      <w:r>
        <w:rPr>
          <w:rFonts w:eastAsia="Times New Roman" w:cstheme="minorHAnsi"/>
          <w:b/>
          <w:bCs/>
          <w:color w:val="000000"/>
          <w:sz w:val="21"/>
          <w:szCs w:val="21"/>
        </w:rPr>
        <w:t xml:space="preserve">Federal FY 18 </w:t>
      </w:r>
      <w:r w:rsidR="0066382E">
        <w:rPr>
          <w:rFonts w:eastAsia="Times New Roman" w:cstheme="minorHAnsi"/>
          <w:b/>
          <w:bCs/>
          <w:color w:val="000000"/>
          <w:sz w:val="21"/>
          <w:szCs w:val="21"/>
        </w:rPr>
        <w:t xml:space="preserve">Budget </w:t>
      </w:r>
      <w:r w:rsidR="00E42559" w:rsidRPr="00E42559">
        <w:rPr>
          <w:rFonts w:eastAsia="Times New Roman" w:cstheme="minorHAnsi"/>
          <w:b/>
          <w:bCs/>
          <w:color w:val="000000"/>
          <w:sz w:val="21"/>
          <w:szCs w:val="21"/>
        </w:rPr>
        <w:t>Update</w:t>
      </w:r>
      <w:r w:rsidR="006017A5">
        <w:rPr>
          <w:rFonts w:eastAsia="Times New Roman" w:cstheme="minorHAnsi"/>
          <w:b/>
          <w:bCs/>
          <w:color w:val="000000"/>
          <w:sz w:val="21"/>
          <w:szCs w:val="21"/>
        </w:rPr>
        <w:t xml:space="preserve"> –</w:t>
      </w:r>
      <w:r w:rsidRPr="00722280">
        <w:rPr>
          <w:rFonts w:eastAsia="Times New Roman" w:cstheme="minorHAnsi"/>
          <w:b/>
          <w:bCs/>
          <w:i/>
          <w:color w:val="000000"/>
          <w:sz w:val="21"/>
          <w:szCs w:val="21"/>
          <w:highlight w:val="yellow"/>
          <w:u w:val="single"/>
        </w:rPr>
        <w:t>Update</w:t>
      </w:r>
      <w:r>
        <w:rPr>
          <w:rFonts w:eastAsia="Times New Roman" w:cstheme="minorHAnsi"/>
          <w:b/>
          <w:bCs/>
          <w:i/>
          <w:color w:val="000000"/>
          <w:sz w:val="21"/>
          <w:szCs w:val="21"/>
          <w:u w:val="single"/>
        </w:rPr>
        <w:t xml:space="preserve"> </w:t>
      </w:r>
      <w:r w:rsidR="00E42559">
        <w:rPr>
          <w:rFonts w:eastAsia="Times New Roman" w:cstheme="minorHAnsi"/>
          <w:b/>
          <w:bCs/>
          <w:color w:val="000000"/>
          <w:sz w:val="21"/>
          <w:szCs w:val="21"/>
        </w:rPr>
        <w:t>–</w:t>
      </w:r>
      <w:r w:rsidR="000A7315">
        <w:rPr>
          <w:rFonts w:eastAsia="Times New Roman" w:cstheme="minorHAnsi"/>
          <w:b/>
          <w:bCs/>
          <w:color w:val="000000"/>
          <w:sz w:val="21"/>
          <w:szCs w:val="21"/>
        </w:rPr>
        <w:t xml:space="preserve">  </w:t>
      </w:r>
      <w:r w:rsidR="000A7315" w:rsidRPr="000A7315">
        <w:rPr>
          <w:rFonts w:eastAsia="Times New Roman" w:cstheme="minorHAnsi"/>
          <w:color w:val="000000"/>
          <w:sz w:val="21"/>
          <w:szCs w:val="21"/>
        </w:rPr>
        <w:t xml:space="preserve">Congress passed, </w:t>
      </w:r>
      <w:r w:rsidR="00FE4781">
        <w:rPr>
          <w:rFonts w:eastAsia="Times New Roman" w:cstheme="minorHAnsi"/>
          <w:color w:val="000000"/>
          <w:sz w:val="21"/>
          <w:szCs w:val="21"/>
        </w:rPr>
        <w:t>and the President signed, another short-term</w:t>
      </w:r>
      <w:r w:rsidR="000A7315" w:rsidRPr="000A7315">
        <w:rPr>
          <w:rFonts w:eastAsia="Times New Roman" w:cstheme="minorHAnsi"/>
          <w:color w:val="000000"/>
          <w:sz w:val="21"/>
          <w:szCs w:val="21"/>
        </w:rPr>
        <w:t xml:space="preserve"> temporary spending bill, f</w:t>
      </w:r>
      <w:r w:rsidR="00FE4781">
        <w:rPr>
          <w:rFonts w:eastAsia="Times New Roman" w:cstheme="minorHAnsi"/>
          <w:color w:val="000000"/>
          <w:sz w:val="21"/>
          <w:szCs w:val="21"/>
        </w:rPr>
        <w:t>unding the government through 1/19/18</w:t>
      </w:r>
      <w:r w:rsidR="000A7315" w:rsidRPr="000A7315">
        <w:rPr>
          <w:rFonts w:eastAsia="Times New Roman" w:cstheme="minorHAnsi"/>
          <w:color w:val="000000"/>
          <w:sz w:val="21"/>
          <w:szCs w:val="21"/>
        </w:rPr>
        <w:t>, to avoid a government shutdown and provide more time for Congress to negotiate</w:t>
      </w:r>
      <w:r w:rsidRPr="000A7315">
        <w:rPr>
          <w:rFonts w:eastAsia="Times New Roman" w:cstheme="minorHAnsi"/>
          <w:color w:val="000000"/>
          <w:sz w:val="21"/>
          <w:szCs w:val="21"/>
        </w:rPr>
        <w:t xml:space="preserve"> </w:t>
      </w:r>
      <w:r w:rsidR="0066382E" w:rsidRPr="000A7315">
        <w:rPr>
          <w:rFonts w:eastAsia="Times New Roman" w:cstheme="minorHAnsi"/>
          <w:color w:val="000000"/>
          <w:sz w:val="21"/>
          <w:szCs w:val="21"/>
        </w:rPr>
        <w:t>a final 2018 budget agreemen</w:t>
      </w:r>
      <w:r w:rsidR="000A7315" w:rsidRPr="000A7315">
        <w:rPr>
          <w:rFonts w:eastAsia="Times New Roman" w:cstheme="minorHAnsi"/>
          <w:color w:val="000000"/>
          <w:sz w:val="21"/>
          <w:szCs w:val="21"/>
        </w:rPr>
        <w:t>t.</w:t>
      </w:r>
      <w:r w:rsidR="001D547C">
        <w:rPr>
          <w:rFonts w:eastAsia="Times New Roman" w:cstheme="minorHAnsi"/>
          <w:b/>
          <w:color w:val="000000"/>
          <w:sz w:val="21"/>
          <w:szCs w:val="21"/>
        </w:rPr>
        <w:t xml:space="preserve"> </w:t>
      </w:r>
    </w:p>
    <w:p w14:paraId="67DF1CFF" w14:textId="2D8F6C6A" w:rsidR="0066382E" w:rsidRPr="0066382E" w:rsidRDefault="00722280" w:rsidP="006848F5">
      <w:pPr>
        <w:spacing w:line="240" w:lineRule="auto"/>
        <w:contextualSpacing/>
        <w:rPr>
          <w:rFonts w:eastAsia="Times New Roman" w:cstheme="minorHAnsi"/>
          <w:color w:val="000000"/>
          <w:sz w:val="21"/>
          <w:szCs w:val="21"/>
        </w:rPr>
      </w:pPr>
      <w:r w:rsidRPr="00722280">
        <w:rPr>
          <w:rFonts w:eastAsia="Times New Roman" w:cstheme="minorHAnsi"/>
          <w:b/>
          <w:color w:val="000000"/>
          <w:sz w:val="21"/>
          <w:szCs w:val="21"/>
        </w:rPr>
        <w:t>House &amp; Senate FY 18 budget</w:t>
      </w:r>
      <w:r>
        <w:rPr>
          <w:rFonts w:eastAsia="Times New Roman" w:cstheme="minorHAnsi"/>
          <w:b/>
          <w:color w:val="000000"/>
          <w:sz w:val="21"/>
          <w:szCs w:val="21"/>
        </w:rPr>
        <w:t xml:space="preserve"> &amp; appropriations update</w:t>
      </w:r>
      <w:r w:rsidR="00FA4725">
        <w:rPr>
          <w:rFonts w:eastAsia="Times New Roman" w:cstheme="minorHAnsi"/>
          <w:color w:val="000000"/>
          <w:sz w:val="21"/>
          <w:szCs w:val="21"/>
        </w:rPr>
        <w:t xml:space="preserve"> – </w:t>
      </w:r>
      <w:r w:rsidR="00FA4725" w:rsidRPr="00FA4725">
        <w:rPr>
          <w:rFonts w:eastAsia="Times New Roman" w:cstheme="minorHAnsi"/>
          <w:b/>
          <w:i/>
          <w:color w:val="000000"/>
          <w:sz w:val="21"/>
          <w:szCs w:val="21"/>
          <w:u w:val="single"/>
        </w:rPr>
        <w:t>No new update</w:t>
      </w:r>
      <w:r w:rsidR="00FA4725">
        <w:rPr>
          <w:rFonts w:eastAsia="Times New Roman" w:cstheme="minorHAnsi"/>
          <w:color w:val="000000"/>
          <w:sz w:val="21"/>
          <w:szCs w:val="21"/>
        </w:rPr>
        <w:t xml:space="preserve"> – </w:t>
      </w:r>
      <w:r>
        <w:rPr>
          <w:rFonts w:eastAsia="Times New Roman" w:cstheme="minorHAnsi"/>
          <w:color w:val="000000"/>
          <w:sz w:val="21"/>
          <w:szCs w:val="21"/>
        </w:rPr>
        <w:t>Though another short-term CR appears to be imminent, Congress will likely continue its work towards an omnibus package, which will include appropriations bills, including T-HUD.</w:t>
      </w:r>
      <w:r w:rsidR="00FA4725">
        <w:rPr>
          <w:rFonts w:eastAsia="Times New Roman" w:cstheme="minorHAnsi"/>
          <w:color w:val="000000"/>
          <w:sz w:val="21"/>
          <w:szCs w:val="21"/>
        </w:rPr>
        <w:t xml:space="preserve">  The </w:t>
      </w:r>
      <w:r w:rsidR="0066382E" w:rsidRPr="0066382E">
        <w:rPr>
          <w:rFonts w:eastAsia="Times New Roman" w:cstheme="minorHAnsi"/>
          <w:color w:val="000000"/>
          <w:sz w:val="21"/>
          <w:szCs w:val="21"/>
        </w:rPr>
        <w:t xml:space="preserve">Senate and House </w:t>
      </w:r>
      <w:r w:rsidR="00FA4725">
        <w:rPr>
          <w:rFonts w:eastAsia="Times New Roman" w:cstheme="minorHAnsi"/>
          <w:color w:val="000000"/>
          <w:sz w:val="21"/>
          <w:szCs w:val="21"/>
        </w:rPr>
        <w:t>FY</w:t>
      </w:r>
      <w:r w:rsidR="0066382E" w:rsidRPr="0066382E">
        <w:rPr>
          <w:rFonts w:eastAsia="Times New Roman" w:cstheme="minorHAnsi"/>
          <w:color w:val="000000"/>
          <w:sz w:val="21"/>
          <w:szCs w:val="21"/>
        </w:rPr>
        <w:t>18 funding bills would cut the number of Housing Choice Vouchers (HCV) next year by 40,000 and 120,000, respectively</w:t>
      </w:r>
      <w:r w:rsidR="00FA4725">
        <w:rPr>
          <w:rFonts w:eastAsia="Times New Roman" w:cstheme="minorHAnsi"/>
          <w:color w:val="000000"/>
          <w:sz w:val="21"/>
          <w:szCs w:val="21"/>
        </w:rPr>
        <w:t>.</w:t>
      </w:r>
    </w:p>
    <w:p w14:paraId="795E0F19" w14:textId="36684DA9" w:rsidR="002C2CA2" w:rsidRPr="00FA4725" w:rsidRDefault="002C2CA2" w:rsidP="002C2CA2">
      <w:pPr>
        <w:spacing w:line="240" w:lineRule="auto"/>
        <w:contextualSpacing/>
        <w:rPr>
          <w:rFonts w:eastAsia="Times New Roman" w:cstheme="minorHAnsi"/>
          <w:b/>
          <w:color w:val="000000"/>
          <w:sz w:val="12"/>
          <w:szCs w:val="12"/>
        </w:rPr>
      </w:pPr>
      <w:r w:rsidRPr="002C2CA2">
        <w:rPr>
          <w:rFonts w:eastAsia="Times New Roman" w:cstheme="minorHAnsi"/>
          <w:b/>
          <w:color w:val="000000"/>
          <w:sz w:val="21"/>
          <w:szCs w:val="21"/>
        </w:rPr>
        <w:tab/>
      </w:r>
      <w:r w:rsidRPr="002C2CA2">
        <w:rPr>
          <w:rFonts w:eastAsia="Times New Roman" w:cstheme="minorHAnsi"/>
          <w:b/>
          <w:color w:val="000000"/>
          <w:sz w:val="21"/>
          <w:szCs w:val="21"/>
        </w:rPr>
        <w:tab/>
      </w:r>
      <w:r w:rsidRPr="002C2CA2">
        <w:rPr>
          <w:rFonts w:eastAsia="Times New Roman" w:cstheme="minorHAnsi"/>
          <w:b/>
          <w:color w:val="000000"/>
          <w:sz w:val="21"/>
          <w:szCs w:val="21"/>
        </w:rPr>
        <w:tab/>
      </w:r>
      <w:r w:rsidRPr="002C2CA2">
        <w:rPr>
          <w:rFonts w:eastAsia="Times New Roman" w:cstheme="minorHAnsi"/>
          <w:b/>
          <w:color w:val="000000"/>
          <w:sz w:val="21"/>
          <w:szCs w:val="21"/>
        </w:rPr>
        <w:tab/>
      </w:r>
      <w:r w:rsidRPr="00FA4725">
        <w:rPr>
          <w:rFonts w:eastAsia="Times New Roman" w:cstheme="minorHAnsi"/>
          <w:b/>
          <w:color w:val="000000"/>
          <w:sz w:val="12"/>
          <w:szCs w:val="12"/>
        </w:rPr>
        <w:tab/>
      </w:r>
    </w:p>
    <w:tbl>
      <w:tblPr>
        <w:tblStyle w:val="TableGrid"/>
        <w:tblW w:w="0" w:type="auto"/>
        <w:tblLook w:val="04A0" w:firstRow="1" w:lastRow="0" w:firstColumn="1" w:lastColumn="0" w:noHBand="0" w:noVBand="1"/>
      </w:tblPr>
      <w:tblGrid>
        <w:gridCol w:w="1750"/>
        <w:gridCol w:w="1575"/>
        <w:gridCol w:w="1440"/>
        <w:gridCol w:w="1710"/>
        <w:gridCol w:w="1890"/>
        <w:gridCol w:w="2137"/>
      </w:tblGrid>
      <w:tr w:rsidR="002C2CA2" w14:paraId="45E1ABE3" w14:textId="77777777" w:rsidTr="00FA4725">
        <w:tc>
          <w:tcPr>
            <w:tcW w:w="1750" w:type="dxa"/>
          </w:tcPr>
          <w:p w14:paraId="3F46A6B7" w14:textId="268D337A"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HUD / RD PROGRAMS</w:t>
            </w:r>
          </w:p>
        </w:tc>
        <w:tc>
          <w:tcPr>
            <w:tcW w:w="1575" w:type="dxa"/>
          </w:tcPr>
          <w:p w14:paraId="14768855" w14:textId="03DBFC3E"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ENACTED FUNDING FY 2017 (IN MILLIONS)</w:t>
            </w:r>
          </w:p>
        </w:tc>
        <w:tc>
          <w:tcPr>
            <w:tcW w:w="1440" w:type="dxa"/>
          </w:tcPr>
          <w:p w14:paraId="2258F428" w14:textId="4BA60111"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FY-18 WHITE HOUSE REQUEST (IN MILLIONS)</w:t>
            </w:r>
          </w:p>
        </w:tc>
        <w:tc>
          <w:tcPr>
            <w:tcW w:w="1710" w:type="dxa"/>
          </w:tcPr>
          <w:p w14:paraId="499B5CC0" w14:textId="27FA581A"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FY-18 HOUSE SUB-COMMITTEE MARK [7/12/17] (IN MILLIONS)</w:t>
            </w:r>
          </w:p>
        </w:tc>
        <w:tc>
          <w:tcPr>
            <w:tcW w:w="1890" w:type="dxa"/>
          </w:tcPr>
          <w:p w14:paraId="684210C2" w14:textId="795DCE17"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 xml:space="preserve">FY-18 SENATE </w:t>
            </w:r>
            <w:r w:rsidR="00417E10" w:rsidRPr="00FA4725">
              <w:rPr>
                <w:rFonts w:eastAsia="Times New Roman" w:cstheme="minorHAnsi"/>
                <w:b/>
                <w:caps/>
                <w:color w:val="000000"/>
                <w:sz w:val="20"/>
                <w:szCs w:val="20"/>
              </w:rPr>
              <w:t xml:space="preserve">Appropriations Committee Approved </w:t>
            </w:r>
            <w:r w:rsidR="00417E10" w:rsidRPr="00FA4725">
              <w:rPr>
                <w:rFonts w:eastAsia="Times New Roman" w:cstheme="minorHAnsi"/>
                <w:b/>
                <w:color w:val="000000"/>
                <w:sz w:val="20"/>
                <w:szCs w:val="20"/>
              </w:rPr>
              <w:t>[7/31</w:t>
            </w:r>
            <w:r w:rsidRPr="00FA4725">
              <w:rPr>
                <w:rFonts w:eastAsia="Times New Roman" w:cstheme="minorHAnsi"/>
                <w:b/>
                <w:color w:val="000000"/>
                <w:sz w:val="20"/>
                <w:szCs w:val="20"/>
              </w:rPr>
              <w:t>/17] (IN MILLIONS)</w:t>
            </w:r>
          </w:p>
        </w:tc>
        <w:tc>
          <w:tcPr>
            <w:tcW w:w="2137" w:type="dxa"/>
          </w:tcPr>
          <w:p w14:paraId="4989C89B" w14:textId="5A7814B3"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DIFFERENCE BETWEEN FY-18 SENATE SUB-COMMITTEE MARK AND FY-17 ENACTED (IN MILLIONS)</w:t>
            </w:r>
          </w:p>
        </w:tc>
      </w:tr>
      <w:tr w:rsidR="002C2CA2" w14:paraId="66734076" w14:textId="77777777" w:rsidTr="00FA4725">
        <w:tc>
          <w:tcPr>
            <w:tcW w:w="1750" w:type="dxa"/>
          </w:tcPr>
          <w:p w14:paraId="7D8C0B89" w14:textId="41CADF0D"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 xml:space="preserve">Project-Based </w:t>
            </w:r>
            <w:r w:rsidR="00FB091F" w:rsidRPr="00FA4725">
              <w:rPr>
                <w:rFonts w:eastAsia="Times New Roman" w:cstheme="minorHAnsi"/>
                <w:b/>
                <w:color w:val="000000"/>
                <w:sz w:val="20"/>
                <w:szCs w:val="20"/>
              </w:rPr>
              <w:t>Section 8</w:t>
            </w:r>
          </w:p>
        </w:tc>
        <w:tc>
          <w:tcPr>
            <w:tcW w:w="1575" w:type="dxa"/>
          </w:tcPr>
          <w:p w14:paraId="00A39271" w14:textId="65D683D1"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$10,816</w:t>
            </w:r>
          </w:p>
        </w:tc>
        <w:tc>
          <w:tcPr>
            <w:tcW w:w="1440" w:type="dxa"/>
          </w:tcPr>
          <w:p w14:paraId="1E359C58" w14:textId="1547F9EB"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$10,351</w:t>
            </w:r>
          </w:p>
        </w:tc>
        <w:tc>
          <w:tcPr>
            <w:tcW w:w="1710" w:type="dxa"/>
          </w:tcPr>
          <w:p w14:paraId="09BBA4A7" w14:textId="4938D73D"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$11,082</w:t>
            </w:r>
          </w:p>
        </w:tc>
        <w:tc>
          <w:tcPr>
            <w:tcW w:w="1890" w:type="dxa"/>
          </w:tcPr>
          <w:p w14:paraId="7EA860FC" w14:textId="6F6BC949" w:rsidR="002C2CA2" w:rsidRPr="00FA4725" w:rsidRDefault="00417E10"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$11,507</w:t>
            </w:r>
          </w:p>
        </w:tc>
        <w:tc>
          <w:tcPr>
            <w:tcW w:w="2137" w:type="dxa"/>
          </w:tcPr>
          <w:p w14:paraId="1C9DA297" w14:textId="0552F0A2" w:rsidR="002C2CA2" w:rsidRPr="00FA4725" w:rsidRDefault="00417E10"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$691</w:t>
            </w:r>
          </w:p>
        </w:tc>
      </w:tr>
      <w:tr w:rsidR="002C2CA2" w14:paraId="0FA18424" w14:textId="77777777" w:rsidTr="00FA4725">
        <w:tc>
          <w:tcPr>
            <w:tcW w:w="1750" w:type="dxa"/>
          </w:tcPr>
          <w:p w14:paraId="6E7CE540" w14:textId="4FAA4279"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Tenant-Based Rental Assistance</w:t>
            </w:r>
          </w:p>
        </w:tc>
        <w:tc>
          <w:tcPr>
            <w:tcW w:w="1575" w:type="dxa"/>
          </w:tcPr>
          <w:p w14:paraId="4873C827" w14:textId="6045DA3C"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$20,292</w:t>
            </w:r>
          </w:p>
        </w:tc>
        <w:tc>
          <w:tcPr>
            <w:tcW w:w="1440" w:type="dxa"/>
          </w:tcPr>
          <w:p w14:paraId="1CD25C68" w14:textId="1164A4FF"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$19,318</w:t>
            </w:r>
          </w:p>
        </w:tc>
        <w:tc>
          <w:tcPr>
            <w:tcW w:w="1710" w:type="dxa"/>
          </w:tcPr>
          <w:p w14:paraId="4D2FCC42" w14:textId="5D1A82AE"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$20,487</w:t>
            </w:r>
          </w:p>
        </w:tc>
        <w:tc>
          <w:tcPr>
            <w:tcW w:w="1890" w:type="dxa"/>
          </w:tcPr>
          <w:p w14:paraId="3DBBEEF2" w14:textId="5D144851"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$21,365</w:t>
            </w:r>
          </w:p>
        </w:tc>
        <w:tc>
          <w:tcPr>
            <w:tcW w:w="2137" w:type="dxa"/>
          </w:tcPr>
          <w:p w14:paraId="6DCA9420" w14:textId="6E2735F9"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$1,073</w:t>
            </w:r>
          </w:p>
        </w:tc>
      </w:tr>
      <w:tr w:rsidR="002C2CA2" w14:paraId="191AC619" w14:textId="77777777" w:rsidTr="00FA4725">
        <w:tc>
          <w:tcPr>
            <w:tcW w:w="1750" w:type="dxa"/>
          </w:tcPr>
          <w:p w14:paraId="42571DF0" w14:textId="5EAD9272"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Homeless Assistance Grants</w:t>
            </w:r>
          </w:p>
        </w:tc>
        <w:tc>
          <w:tcPr>
            <w:tcW w:w="1575" w:type="dxa"/>
          </w:tcPr>
          <w:p w14:paraId="23245742" w14:textId="5CC4CA10"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$2,383</w:t>
            </w:r>
          </w:p>
        </w:tc>
        <w:tc>
          <w:tcPr>
            <w:tcW w:w="1440" w:type="dxa"/>
          </w:tcPr>
          <w:p w14:paraId="44343500" w14:textId="6E23157D"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$2,250</w:t>
            </w:r>
          </w:p>
        </w:tc>
        <w:tc>
          <w:tcPr>
            <w:tcW w:w="1710" w:type="dxa"/>
          </w:tcPr>
          <w:p w14:paraId="21E2196B" w14:textId="52FC4ED3"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$2,383</w:t>
            </w:r>
          </w:p>
        </w:tc>
        <w:tc>
          <w:tcPr>
            <w:tcW w:w="1890" w:type="dxa"/>
          </w:tcPr>
          <w:p w14:paraId="79F5DE3B" w14:textId="3468DC94"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$2,456</w:t>
            </w:r>
          </w:p>
        </w:tc>
        <w:tc>
          <w:tcPr>
            <w:tcW w:w="2137" w:type="dxa"/>
          </w:tcPr>
          <w:p w14:paraId="685B7EC2" w14:textId="35E2F122"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$73</w:t>
            </w:r>
          </w:p>
        </w:tc>
      </w:tr>
      <w:tr w:rsidR="002C2CA2" w14:paraId="2FD220C0" w14:textId="77777777" w:rsidTr="00FA4725">
        <w:tc>
          <w:tcPr>
            <w:tcW w:w="1750" w:type="dxa"/>
          </w:tcPr>
          <w:p w14:paraId="332E7CF5" w14:textId="7382BCCA"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HOME</w:t>
            </w:r>
          </w:p>
        </w:tc>
        <w:tc>
          <w:tcPr>
            <w:tcW w:w="1575" w:type="dxa"/>
          </w:tcPr>
          <w:p w14:paraId="197C8E9C" w14:textId="475EDD35"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$950</w:t>
            </w:r>
          </w:p>
        </w:tc>
        <w:tc>
          <w:tcPr>
            <w:tcW w:w="1440" w:type="dxa"/>
          </w:tcPr>
          <w:p w14:paraId="5A77B4B6" w14:textId="7EEB9CCC"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w:t>
            </w:r>
          </w:p>
        </w:tc>
        <w:tc>
          <w:tcPr>
            <w:tcW w:w="1710" w:type="dxa"/>
          </w:tcPr>
          <w:p w14:paraId="3D5C933E" w14:textId="187F2465"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$850</w:t>
            </w:r>
          </w:p>
        </w:tc>
        <w:tc>
          <w:tcPr>
            <w:tcW w:w="1890" w:type="dxa"/>
          </w:tcPr>
          <w:p w14:paraId="2389854C" w14:textId="356CC535"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$950</w:t>
            </w:r>
          </w:p>
        </w:tc>
        <w:tc>
          <w:tcPr>
            <w:tcW w:w="2137" w:type="dxa"/>
          </w:tcPr>
          <w:p w14:paraId="6DCB6AEE" w14:textId="3F591BC4"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w:t>
            </w:r>
          </w:p>
        </w:tc>
      </w:tr>
      <w:tr w:rsidR="002C2CA2" w14:paraId="123CC674" w14:textId="77777777" w:rsidTr="00FA4725">
        <w:tc>
          <w:tcPr>
            <w:tcW w:w="1750" w:type="dxa"/>
          </w:tcPr>
          <w:p w14:paraId="2B3F3BFE" w14:textId="479EF360"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CDBG</w:t>
            </w:r>
          </w:p>
        </w:tc>
        <w:tc>
          <w:tcPr>
            <w:tcW w:w="1575" w:type="dxa"/>
          </w:tcPr>
          <w:p w14:paraId="33ED5BBC" w14:textId="495DB700"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$3,060</w:t>
            </w:r>
          </w:p>
        </w:tc>
        <w:tc>
          <w:tcPr>
            <w:tcW w:w="1440" w:type="dxa"/>
          </w:tcPr>
          <w:p w14:paraId="33E51AAF" w14:textId="2DD12A58"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w:t>
            </w:r>
          </w:p>
        </w:tc>
        <w:tc>
          <w:tcPr>
            <w:tcW w:w="1710" w:type="dxa"/>
          </w:tcPr>
          <w:p w14:paraId="773D67D0" w14:textId="0FD690FA"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$2,960</w:t>
            </w:r>
          </w:p>
        </w:tc>
        <w:tc>
          <w:tcPr>
            <w:tcW w:w="1890" w:type="dxa"/>
          </w:tcPr>
          <w:p w14:paraId="09C49844" w14:textId="09A84EBF"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$3,000</w:t>
            </w:r>
          </w:p>
        </w:tc>
        <w:tc>
          <w:tcPr>
            <w:tcW w:w="2137" w:type="dxa"/>
          </w:tcPr>
          <w:p w14:paraId="56122C5D" w14:textId="4ACD542E" w:rsidR="002C2CA2" w:rsidRPr="00FA4725" w:rsidRDefault="002C2CA2" w:rsidP="002C2CA2">
            <w:pPr>
              <w:contextualSpacing/>
              <w:rPr>
                <w:rFonts w:eastAsia="Times New Roman" w:cstheme="minorHAnsi"/>
                <w:b/>
                <w:color w:val="000000"/>
                <w:sz w:val="20"/>
                <w:szCs w:val="20"/>
              </w:rPr>
            </w:pPr>
            <w:r w:rsidRPr="00FA4725">
              <w:rPr>
                <w:rFonts w:eastAsia="Times New Roman" w:cstheme="minorHAnsi"/>
                <w:b/>
                <w:color w:val="000000"/>
                <w:sz w:val="20"/>
                <w:szCs w:val="20"/>
              </w:rPr>
              <w:t>$(60)</w:t>
            </w:r>
          </w:p>
        </w:tc>
      </w:tr>
    </w:tbl>
    <w:p w14:paraId="7E1CF17A" w14:textId="77777777" w:rsidR="006017A5" w:rsidRPr="00FA4725" w:rsidRDefault="006017A5" w:rsidP="00B64B8B">
      <w:pPr>
        <w:spacing w:after="0" w:line="240" w:lineRule="auto"/>
        <w:contextualSpacing/>
        <w:rPr>
          <w:rFonts w:eastAsia="Times New Roman" w:cstheme="minorHAnsi"/>
          <w:b/>
          <w:color w:val="000000"/>
          <w:sz w:val="12"/>
          <w:szCs w:val="12"/>
        </w:rPr>
      </w:pPr>
    </w:p>
    <w:p w14:paraId="0B9F4A37" w14:textId="518533B1" w:rsidR="00B64B8B" w:rsidRPr="00A74EC4" w:rsidRDefault="00B64B8B" w:rsidP="00B64B8B">
      <w:pPr>
        <w:spacing w:after="0" w:line="240" w:lineRule="auto"/>
        <w:contextualSpacing/>
        <w:rPr>
          <w:rFonts w:eastAsia="Times New Roman" w:cstheme="minorHAnsi"/>
          <w:b/>
          <w:color w:val="000000"/>
          <w:sz w:val="21"/>
          <w:szCs w:val="21"/>
        </w:rPr>
      </w:pPr>
      <w:r w:rsidRPr="00FB091F">
        <w:rPr>
          <w:rFonts w:eastAsia="Times New Roman" w:cstheme="minorHAnsi"/>
          <w:b/>
          <w:color w:val="000000"/>
          <w:sz w:val="21"/>
          <w:szCs w:val="21"/>
        </w:rPr>
        <w:t xml:space="preserve">Effect of the </w:t>
      </w:r>
      <w:r w:rsidR="006017A5">
        <w:rPr>
          <w:rFonts w:eastAsia="Times New Roman" w:cstheme="minorHAnsi"/>
          <w:b/>
          <w:color w:val="000000"/>
          <w:sz w:val="21"/>
          <w:szCs w:val="21"/>
        </w:rPr>
        <w:t xml:space="preserve">Senate and House </w:t>
      </w:r>
      <w:r w:rsidRPr="00FB091F">
        <w:rPr>
          <w:rFonts w:eastAsia="Times New Roman" w:cstheme="minorHAnsi"/>
          <w:b/>
          <w:color w:val="000000"/>
          <w:sz w:val="21"/>
          <w:szCs w:val="21"/>
        </w:rPr>
        <w:t>FY 18 HUD budget cuts on Maine (per CBPP analysis):</w:t>
      </w:r>
    </w:p>
    <w:tbl>
      <w:tblPr>
        <w:tblStyle w:val="TableGrid"/>
        <w:tblW w:w="0" w:type="auto"/>
        <w:tblLook w:val="04A0" w:firstRow="1" w:lastRow="0" w:firstColumn="1" w:lastColumn="0" w:noHBand="0" w:noVBand="1"/>
      </w:tblPr>
      <w:tblGrid>
        <w:gridCol w:w="3500"/>
        <w:gridCol w:w="3501"/>
        <w:gridCol w:w="3501"/>
      </w:tblGrid>
      <w:tr w:rsidR="00B64B8B" w14:paraId="695B4D57" w14:textId="77777777" w:rsidTr="00B64B8B">
        <w:tc>
          <w:tcPr>
            <w:tcW w:w="3500" w:type="dxa"/>
          </w:tcPr>
          <w:p w14:paraId="6E02053E" w14:textId="77777777" w:rsidR="00B64B8B" w:rsidRPr="00FA4725" w:rsidRDefault="00B64B8B" w:rsidP="00B64B8B">
            <w:pPr>
              <w:contextualSpacing/>
              <w:jc w:val="center"/>
              <w:rPr>
                <w:rFonts w:eastAsia="Times New Roman" w:cstheme="minorHAnsi"/>
                <w:b/>
                <w:color w:val="000000"/>
                <w:sz w:val="20"/>
                <w:szCs w:val="20"/>
              </w:rPr>
            </w:pPr>
            <w:r w:rsidRPr="00FA4725">
              <w:rPr>
                <w:rFonts w:eastAsia="Times New Roman" w:cstheme="minorHAnsi"/>
                <w:b/>
                <w:color w:val="000000"/>
                <w:sz w:val="20"/>
                <w:szCs w:val="20"/>
              </w:rPr>
              <w:t xml:space="preserve">Number of Families using </w:t>
            </w:r>
          </w:p>
          <w:p w14:paraId="76DA9EBC" w14:textId="13A2F79D" w:rsidR="00B64B8B" w:rsidRPr="00FA4725" w:rsidRDefault="00B64B8B" w:rsidP="00B64B8B">
            <w:pPr>
              <w:contextualSpacing/>
              <w:jc w:val="center"/>
              <w:rPr>
                <w:rFonts w:eastAsia="Times New Roman" w:cstheme="minorHAnsi"/>
                <w:b/>
                <w:color w:val="000000"/>
                <w:sz w:val="20"/>
                <w:szCs w:val="20"/>
              </w:rPr>
            </w:pPr>
            <w:r w:rsidRPr="00FA4725">
              <w:rPr>
                <w:rFonts w:eastAsia="Times New Roman" w:cstheme="minorHAnsi"/>
                <w:b/>
                <w:color w:val="000000"/>
                <w:sz w:val="20"/>
                <w:szCs w:val="20"/>
              </w:rPr>
              <w:t>vouchers, 2017</w:t>
            </w:r>
          </w:p>
        </w:tc>
        <w:tc>
          <w:tcPr>
            <w:tcW w:w="3501" w:type="dxa"/>
          </w:tcPr>
          <w:p w14:paraId="591FE4C4" w14:textId="7D4BD857" w:rsidR="00B64B8B" w:rsidRPr="00FA4725" w:rsidRDefault="00B64B8B" w:rsidP="00B64B8B">
            <w:pPr>
              <w:contextualSpacing/>
              <w:jc w:val="center"/>
              <w:rPr>
                <w:rFonts w:eastAsia="Times New Roman" w:cstheme="minorHAnsi"/>
                <w:b/>
                <w:color w:val="000000"/>
                <w:sz w:val="20"/>
                <w:szCs w:val="20"/>
              </w:rPr>
            </w:pPr>
            <w:r w:rsidRPr="00FA4725">
              <w:rPr>
                <w:rFonts w:eastAsia="Times New Roman" w:cstheme="minorHAnsi"/>
                <w:b/>
                <w:color w:val="000000"/>
                <w:sz w:val="20"/>
                <w:szCs w:val="20"/>
              </w:rPr>
              <w:t xml:space="preserve">Estimated </w:t>
            </w:r>
            <w:r w:rsidR="00FA4725">
              <w:rPr>
                <w:rFonts w:eastAsia="Times New Roman" w:cstheme="minorHAnsi"/>
                <w:b/>
                <w:color w:val="000000"/>
                <w:sz w:val="20"/>
                <w:szCs w:val="20"/>
              </w:rPr>
              <w:t>#</w:t>
            </w:r>
            <w:r w:rsidRPr="00FA4725">
              <w:rPr>
                <w:rFonts w:eastAsia="Times New Roman" w:cstheme="minorHAnsi"/>
                <w:b/>
                <w:color w:val="000000"/>
                <w:sz w:val="20"/>
                <w:szCs w:val="20"/>
              </w:rPr>
              <w:t xml:space="preserve"> of </w:t>
            </w:r>
          </w:p>
          <w:p w14:paraId="3C0884A3" w14:textId="7C41F6A7" w:rsidR="00B64B8B" w:rsidRPr="00FA4725" w:rsidRDefault="00FA4725" w:rsidP="00B64B8B">
            <w:pPr>
              <w:contextualSpacing/>
              <w:jc w:val="center"/>
              <w:rPr>
                <w:rFonts w:eastAsia="Times New Roman" w:cstheme="minorHAnsi"/>
                <w:b/>
                <w:color w:val="000000"/>
                <w:sz w:val="20"/>
                <w:szCs w:val="20"/>
              </w:rPr>
            </w:pPr>
            <w:r w:rsidRPr="00FA4725">
              <w:rPr>
                <w:rFonts w:eastAsia="Times New Roman" w:cstheme="minorHAnsi"/>
                <w:b/>
                <w:color w:val="000000"/>
                <w:sz w:val="20"/>
                <w:szCs w:val="20"/>
              </w:rPr>
              <w:t xml:space="preserve">Vouchers </w:t>
            </w:r>
            <w:r>
              <w:rPr>
                <w:rFonts w:eastAsia="Times New Roman" w:cstheme="minorHAnsi"/>
                <w:b/>
                <w:color w:val="000000"/>
                <w:sz w:val="20"/>
                <w:szCs w:val="20"/>
              </w:rPr>
              <w:t>eliminated – Senate bill</w:t>
            </w:r>
          </w:p>
        </w:tc>
        <w:tc>
          <w:tcPr>
            <w:tcW w:w="3501" w:type="dxa"/>
          </w:tcPr>
          <w:p w14:paraId="4D838924" w14:textId="5EE40D2E" w:rsidR="006017A5" w:rsidRPr="00FA4725" w:rsidRDefault="006017A5" w:rsidP="006017A5">
            <w:pPr>
              <w:contextualSpacing/>
              <w:jc w:val="center"/>
              <w:rPr>
                <w:rFonts w:eastAsia="Times New Roman" w:cstheme="minorHAnsi"/>
                <w:b/>
                <w:color w:val="000000"/>
                <w:sz w:val="20"/>
                <w:szCs w:val="20"/>
              </w:rPr>
            </w:pPr>
            <w:r w:rsidRPr="00FA4725">
              <w:rPr>
                <w:rFonts w:eastAsia="Times New Roman" w:cstheme="minorHAnsi"/>
                <w:b/>
                <w:color w:val="000000"/>
                <w:sz w:val="20"/>
                <w:szCs w:val="20"/>
              </w:rPr>
              <w:t xml:space="preserve">Estimated </w:t>
            </w:r>
            <w:r w:rsidR="00FA4725">
              <w:rPr>
                <w:rFonts w:eastAsia="Times New Roman" w:cstheme="minorHAnsi"/>
                <w:b/>
                <w:color w:val="000000"/>
                <w:sz w:val="20"/>
                <w:szCs w:val="20"/>
              </w:rPr>
              <w:t xml:space="preserve"># </w:t>
            </w:r>
            <w:r w:rsidRPr="00FA4725">
              <w:rPr>
                <w:rFonts w:eastAsia="Times New Roman" w:cstheme="minorHAnsi"/>
                <w:b/>
                <w:color w:val="000000"/>
                <w:sz w:val="20"/>
                <w:szCs w:val="20"/>
              </w:rPr>
              <w:t xml:space="preserve">of </w:t>
            </w:r>
          </w:p>
          <w:p w14:paraId="2DD54240" w14:textId="4CFC832A" w:rsidR="00B64B8B" w:rsidRPr="00FA4725" w:rsidRDefault="006017A5" w:rsidP="006017A5">
            <w:pPr>
              <w:contextualSpacing/>
              <w:jc w:val="center"/>
              <w:rPr>
                <w:rFonts w:eastAsia="Times New Roman" w:cstheme="minorHAnsi"/>
                <w:b/>
                <w:color w:val="000000"/>
                <w:sz w:val="20"/>
                <w:szCs w:val="20"/>
              </w:rPr>
            </w:pPr>
            <w:r w:rsidRPr="00FA4725">
              <w:rPr>
                <w:rFonts w:eastAsia="Times New Roman" w:cstheme="minorHAnsi"/>
                <w:b/>
                <w:color w:val="000000"/>
                <w:sz w:val="20"/>
                <w:szCs w:val="20"/>
              </w:rPr>
              <w:t xml:space="preserve">Vouchers </w:t>
            </w:r>
            <w:r w:rsidR="00FA4725">
              <w:rPr>
                <w:rFonts w:eastAsia="Times New Roman" w:cstheme="minorHAnsi"/>
                <w:b/>
                <w:color w:val="000000"/>
                <w:sz w:val="20"/>
                <w:szCs w:val="20"/>
              </w:rPr>
              <w:t>eliminated – House bill</w:t>
            </w:r>
          </w:p>
        </w:tc>
      </w:tr>
      <w:tr w:rsidR="00B64B8B" w14:paraId="3AFEFFFC" w14:textId="77777777" w:rsidTr="00B64B8B">
        <w:tc>
          <w:tcPr>
            <w:tcW w:w="3500" w:type="dxa"/>
          </w:tcPr>
          <w:p w14:paraId="6EB2F65E" w14:textId="4BD9610C" w:rsidR="00B64B8B" w:rsidRPr="00FA4725" w:rsidRDefault="006017A5" w:rsidP="00B64B8B">
            <w:pPr>
              <w:contextualSpacing/>
              <w:jc w:val="center"/>
              <w:rPr>
                <w:rFonts w:eastAsia="Times New Roman" w:cstheme="minorHAnsi"/>
                <w:b/>
                <w:color w:val="000000"/>
                <w:sz w:val="20"/>
                <w:szCs w:val="20"/>
              </w:rPr>
            </w:pPr>
            <w:r w:rsidRPr="00FA4725">
              <w:rPr>
                <w:rFonts w:eastAsia="Times New Roman" w:cstheme="minorHAnsi"/>
                <w:b/>
                <w:color w:val="000000"/>
                <w:sz w:val="20"/>
                <w:szCs w:val="20"/>
              </w:rPr>
              <w:t>12,014</w:t>
            </w:r>
          </w:p>
        </w:tc>
        <w:tc>
          <w:tcPr>
            <w:tcW w:w="3501" w:type="dxa"/>
          </w:tcPr>
          <w:p w14:paraId="62A26656" w14:textId="6440BBE6" w:rsidR="00B64B8B" w:rsidRPr="00FA4725" w:rsidRDefault="006017A5" w:rsidP="00B64B8B">
            <w:pPr>
              <w:contextualSpacing/>
              <w:jc w:val="center"/>
              <w:rPr>
                <w:rFonts w:eastAsia="Times New Roman" w:cstheme="minorHAnsi"/>
                <w:b/>
                <w:color w:val="000000"/>
                <w:sz w:val="20"/>
                <w:szCs w:val="20"/>
              </w:rPr>
            </w:pPr>
            <w:r w:rsidRPr="00FA4725">
              <w:rPr>
                <w:rFonts w:eastAsia="Times New Roman" w:cstheme="minorHAnsi"/>
                <w:b/>
                <w:color w:val="000000"/>
                <w:sz w:val="20"/>
                <w:szCs w:val="20"/>
              </w:rPr>
              <w:t>-216</w:t>
            </w:r>
          </w:p>
        </w:tc>
        <w:tc>
          <w:tcPr>
            <w:tcW w:w="3501" w:type="dxa"/>
          </w:tcPr>
          <w:p w14:paraId="0B3CEA8E" w14:textId="5ED67483" w:rsidR="00B64B8B" w:rsidRPr="00FA4725" w:rsidRDefault="00B64B8B" w:rsidP="00B64B8B">
            <w:pPr>
              <w:contextualSpacing/>
              <w:jc w:val="center"/>
              <w:rPr>
                <w:rFonts w:eastAsia="Times New Roman" w:cstheme="minorHAnsi"/>
                <w:b/>
                <w:color w:val="000000"/>
                <w:sz w:val="20"/>
                <w:szCs w:val="20"/>
              </w:rPr>
            </w:pPr>
            <w:r w:rsidRPr="00FA4725">
              <w:rPr>
                <w:rFonts w:eastAsia="Times New Roman" w:cstheme="minorHAnsi"/>
                <w:b/>
                <w:color w:val="000000"/>
                <w:sz w:val="20"/>
                <w:szCs w:val="20"/>
              </w:rPr>
              <w:t>-</w:t>
            </w:r>
            <w:r w:rsidR="006017A5" w:rsidRPr="00FA4725">
              <w:rPr>
                <w:rFonts w:eastAsia="Times New Roman" w:cstheme="minorHAnsi"/>
                <w:b/>
                <w:color w:val="000000"/>
                <w:sz w:val="20"/>
                <w:szCs w:val="20"/>
              </w:rPr>
              <w:t>637</w:t>
            </w:r>
          </w:p>
        </w:tc>
      </w:tr>
    </w:tbl>
    <w:p w14:paraId="4F99F3B9" w14:textId="0BDD1EB2" w:rsidR="00B64B8B" w:rsidRPr="00FA4725" w:rsidRDefault="00B64B8B" w:rsidP="0054404A">
      <w:pPr>
        <w:spacing w:after="0" w:line="240" w:lineRule="auto"/>
        <w:contextualSpacing/>
        <w:rPr>
          <w:rFonts w:eastAsia="Times New Roman" w:cstheme="minorHAnsi"/>
          <w:b/>
          <w:color w:val="000000"/>
          <w:sz w:val="12"/>
          <w:szCs w:val="12"/>
          <w:u w:val="single"/>
        </w:rPr>
      </w:pPr>
    </w:p>
    <w:p w14:paraId="3CEF55CD" w14:textId="27429030" w:rsidR="006017A5" w:rsidRDefault="006017A5" w:rsidP="00FA4725">
      <w:pPr>
        <w:spacing w:after="0" w:line="240" w:lineRule="auto"/>
        <w:contextualSpacing/>
        <w:rPr>
          <w:rFonts w:eastAsia="Times New Roman" w:cstheme="minorHAnsi"/>
          <w:color w:val="000000"/>
          <w:sz w:val="21"/>
          <w:szCs w:val="21"/>
        </w:rPr>
      </w:pPr>
      <w:r w:rsidRPr="006017A5">
        <w:rPr>
          <w:rFonts w:eastAsia="Times New Roman" w:cstheme="minorHAnsi"/>
          <w:color w:val="000000"/>
          <w:sz w:val="21"/>
          <w:szCs w:val="21"/>
          <w:u w:val="single"/>
        </w:rPr>
        <w:t>Per CBPP</w:t>
      </w:r>
      <w:r>
        <w:rPr>
          <w:rFonts w:eastAsia="Times New Roman" w:cstheme="minorHAnsi"/>
          <w:color w:val="000000"/>
          <w:sz w:val="21"/>
          <w:szCs w:val="21"/>
        </w:rPr>
        <w:t xml:space="preserve">: </w:t>
      </w:r>
      <w:r w:rsidRPr="006017A5">
        <w:rPr>
          <w:rFonts w:eastAsia="Times New Roman" w:cstheme="minorHAnsi"/>
          <w:color w:val="000000"/>
          <w:sz w:val="21"/>
          <w:szCs w:val="21"/>
        </w:rPr>
        <w:t xml:space="preserve">“The binding funding caps instituted by the Budget Control Act of 2011 (BCA) have constrained funding for </w:t>
      </w:r>
      <w:r w:rsidR="00FA4725">
        <w:rPr>
          <w:rFonts w:eastAsia="Times New Roman" w:cstheme="minorHAnsi"/>
          <w:color w:val="000000"/>
          <w:sz w:val="21"/>
          <w:szCs w:val="21"/>
        </w:rPr>
        <w:t xml:space="preserve">NDD </w:t>
      </w:r>
      <w:r w:rsidRPr="006017A5">
        <w:rPr>
          <w:rFonts w:eastAsia="Times New Roman" w:cstheme="minorHAnsi"/>
          <w:color w:val="000000"/>
          <w:sz w:val="21"/>
          <w:szCs w:val="21"/>
        </w:rPr>
        <w:t>programs, including most of HUD’s budget. With fewer NDD resources to allocate, Congress cut annual HUD program funding by 9 percent, or $4.2 billion, from 2010 to 2017, in inflation-adjusted terms.</w:t>
      </w:r>
      <w:r>
        <w:rPr>
          <w:rFonts w:eastAsia="Times New Roman" w:cstheme="minorHAnsi"/>
          <w:color w:val="000000"/>
          <w:sz w:val="21"/>
          <w:szCs w:val="21"/>
        </w:rPr>
        <w:t xml:space="preserve"> […]</w:t>
      </w:r>
    </w:p>
    <w:p w14:paraId="6E52AC80" w14:textId="77777777" w:rsidR="00FA4725" w:rsidRPr="00FA4725" w:rsidRDefault="00FA4725" w:rsidP="00FA4725">
      <w:pPr>
        <w:spacing w:after="0" w:line="240" w:lineRule="auto"/>
        <w:contextualSpacing/>
        <w:rPr>
          <w:rFonts w:eastAsia="Times New Roman" w:cstheme="minorHAnsi"/>
          <w:color w:val="000000"/>
          <w:sz w:val="12"/>
          <w:szCs w:val="12"/>
        </w:rPr>
      </w:pPr>
    </w:p>
    <w:p w14:paraId="346C9435" w14:textId="4AD87D7B" w:rsidR="00757BD2" w:rsidRDefault="002760D4" w:rsidP="00FA4725">
      <w:pPr>
        <w:spacing w:after="0" w:line="240" w:lineRule="auto"/>
        <w:contextualSpacing/>
        <w:rPr>
          <w:rFonts w:eastAsia="Times New Roman" w:cstheme="minorHAnsi"/>
          <w:color w:val="000000"/>
          <w:sz w:val="21"/>
          <w:szCs w:val="21"/>
        </w:rPr>
      </w:pPr>
      <w:r>
        <w:rPr>
          <w:rFonts w:eastAsia="Times New Roman" w:cstheme="minorHAnsi"/>
          <w:b/>
          <w:color w:val="000000"/>
          <w:sz w:val="21"/>
          <w:szCs w:val="21"/>
        </w:rPr>
        <w:t xml:space="preserve">FY 2018 Budget </w:t>
      </w:r>
      <w:r w:rsidR="00757BD2">
        <w:rPr>
          <w:rFonts w:eastAsia="Times New Roman" w:cstheme="minorHAnsi"/>
          <w:b/>
          <w:color w:val="000000"/>
          <w:sz w:val="21"/>
          <w:szCs w:val="21"/>
        </w:rPr>
        <w:t>R</w:t>
      </w:r>
      <w:r>
        <w:rPr>
          <w:rFonts w:eastAsia="Times New Roman" w:cstheme="minorHAnsi"/>
          <w:b/>
          <w:color w:val="000000"/>
          <w:sz w:val="21"/>
          <w:szCs w:val="21"/>
        </w:rPr>
        <w:t xml:space="preserve">esolution </w:t>
      </w:r>
      <w:r w:rsidR="003831BD">
        <w:rPr>
          <w:rFonts w:eastAsia="Times New Roman" w:cstheme="minorHAnsi"/>
          <w:b/>
          <w:color w:val="000000"/>
          <w:sz w:val="21"/>
          <w:szCs w:val="21"/>
        </w:rPr>
        <w:t xml:space="preserve">– </w:t>
      </w:r>
      <w:r w:rsidR="00722280">
        <w:rPr>
          <w:rFonts w:eastAsia="Times New Roman" w:cstheme="minorHAnsi"/>
          <w:b/>
          <w:color w:val="000000"/>
          <w:sz w:val="21"/>
          <w:szCs w:val="21"/>
        </w:rPr>
        <w:t>No new update</w:t>
      </w:r>
      <w:r w:rsidR="003831BD">
        <w:rPr>
          <w:rFonts w:eastAsia="Times New Roman" w:cstheme="minorHAnsi"/>
          <w:b/>
          <w:color w:val="000000"/>
          <w:sz w:val="21"/>
          <w:szCs w:val="21"/>
        </w:rPr>
        <w:t xml:space="preserve"> –</w:t>
      </w:r>
      <w:r w:rsidR="00757BD2">
        <w:rPr>
          <w:rFonts w:eastAsia="Times New Roman" w:cstheme="minorHAnsi"/>
          <w:b/>
          <w:color w:val="000000"/>
          <w:sz w:val="21"/>
          <w:szCs w:val="21"/>
        </w:rPr>
        <w:t xml:space="preserve">  </w:t>
      </w:r>
      <w:r w:rsidR="00757BD2" w:rsidRPr="00757BD2">
        <w:rPr>
          <w:rFonts w:eastAsia="Times New Roman" w:cstheme="minorHAnsi"/>
          <w:color w:val="000000"/>
          <w:sz w:val="21"/>
          <w:szCs w:val="21"/>
        </w:rPr>
        <w:t xml:space="preserve">The Senate </w:t>
      </w:r>
      <w:r w:rsidR="00FA4725">
        <w:rPr>
          <w:rFonts w:eastAsia="Times New Roman" w:cstheme="minorHAnsi"/>
          <w:color w:val="000000"/>
          <w:sz w:val="21"/>
          <w:szCs w:val="21"/>
        </w:rPr>
        <w:t xml:space="preserve">House and Senate narrowly </w:t>
      </w:r>
      <w:r w:rsidR="00757BD2" w:rsidRPr="00757BD2">
        <w:rPr>
          <w:rFonts w:eastAsia="Times New Roman" w:cstheme="minorHAnsi"/>
          <w:color w:val="000000"/>
          <w:sz w:val="21"/>
          <w:szCs w:val="21"/>
        </w:rPr>
        <w:t>adopted a</w:t>
      </w:r>
      <w:r w:rsidR="00757BD2">
        <w:rPr>
          <w:rFonts w:eastAsia="Times New Roman" w:cstheme="minorHAnsi"/>
          <w:color w:val="000000"/>
          <w:sz w:val="21"/>
          <w:szCs w:val="21"/>
        </w:rPr>
        <w:t xml:space="preserve"> fiscal 2018 budget resolution</w:t>
      </w:r>
      <w:r w:rsidR="00FA4725">
        <w:rPr>
          <w:rFonts w:eastAsia="Times New Roman" w:cstheme="minorHAnsi"/>
          <w:color w:val="000000"/>
          <w:sz w:val="21"/>
          <w:szCs w:val="21"/>
        </w:rPr>
        <w:t xml:space="preserve"> at the end of October, which</w:t>
      </w:r>
      <w:r w:rsidR="003B1FC3" w:rsidRPr="003B1FC3">
        <w:rPr>
          <w:rFonts w:eastAsia="Times New Roman" w:cstheme="minorHAnsi"/>
          <w:color w:val="000000"/>
          <w:sz w:val="21"/>
          <w:szCs w:val="21"/>
        </w:rPr>
        <w:t xml:space="preserve"> calls for $5.8 trillion in program cuts over the coming decade. These include $1.8 trillion in cuts in Medicaid, Medicare, and other entitlement programs and $800 billion in cuts below the already austere sequestration level</w:t>
      </w:r>
      <w:r w:rsidR="00FA4725">
        <w:rPr>
          <w:rFonts w:eastAsia="Times New Roman" w:cstheme="minorHAnsi"/>
          <w:color w:val="000000"/>
          <w:sz w:val="21"/>
          <w:szCs w:val="21"/>
        </w:rPr>
        <w:t>s in Non-Defense Discretionary (NDD)</w:t>
      </w:r>
      <w:r w:rsidR="003B1FC3" w:rsidRPr="003B1FC3">
        <w:rPr>
          <w:rFonts w:eastAsia="Times New Roman" w:cstheme="minorHAnsi"/>
          <w:color w:val="000000"/>
          <w:sz w:val="21"/>
          <w:szCs w:val="21"/>
        </w:rPr>
        <w:t xml:space="preserve"> programs</w:t>
      </w:r>
      <w:r w:rsidR="003B1FC3">
        <w:rPr>
          <w:rFonts w:eastAsia="Times New Roman" w:cstheme="minorHAnsi"/>
          <w:color w:val="000000"/>
          <w:sz w:val="21"/>
          <w:szCs w:val="21"/>
        </w:rPr>
        <w:t xml:space="preserve">. </w:t>
      </w:r>
      <w:r w:rsidR="00FA4725">
        <w:rPr>
          <w:rFonts w:eastAsia="Times New Roman" w:cstheme="minorHAnsi"/>
          <w:color w:val="000000"/>
          <w:sz w:val="21"/>
          <w:szCs w:val="21"/>
        </w:rPr>
        <w:t xml:space="preserve"> </w:t>
      </w:r>
      <w:r>
        <w:rPr>
          <w:rFonts w:eastAsia="Times New Roman" w:cstheme="minorHAnsi"/>
          <w:color w:val="000000"/>
          <w:sz w:val="21"/>
          <w:szCs w:val="21"/>
        </w:rPr>
        <w:t xml:space="preserve">According to Rollcall.com:  </w:t>
      </w:r>
      <w:r w:rsidRPr="002760D4">
        <w:rPr>
          <w:rFonts w:eastAsia="Times New Roman" w:cstheme="minorHAnsi"/>
          <w:color w:val="000000"/>
          <w:sz w:val="21"/>
          <w:szCs w:val="21"/>
        </w:rPr>
        <w:t xml:space="preserve">Several senators noted that the discretionary toplines in the plan — which would limit </w:t>
      </w:r>
      <w:r w:rsidR="00B1674D">
        <w:rPr>
          <w:rFonts w:eastAsia="Times New Roman" w:cstheme="minorHAnsi"/>
          <w:color w:val="000000"/>
          <w:sz w:val="21"/>
          <w:szCs w:val="21"/>
        </w:rPr>
        <w:t xml:space="preserve">FY </w:t>
      </w:r>
      <w:r w:rsidRPr="002760D4">
        <w:rPr>
          <w:rFonts w:eastAsia="Times New Roman" w:cstheme="minorHAnsi"/>
          <w:color w:val="000000"/>
          <w:sz w:val="21"/>
          <w:szCs w:val="21"/>
        </w:rPr>
        <w:t>2018 defense spending to $549 billion and nondefense to $516 billion — have little meaning since most Democrats as well as Republicans see those limits as too low.</w:t>
      </w:r>
    </w:p>
    <w:p w14:paraId="3433C9EC" w14:textId="7F1E26BB" w:rsidR="00757BD2" w:rsidRPr="00FA4725" w:rsidRDefault="00757BD2" w:rsidP="00FA4725">
      <w:pPr>
        <w:spacing w:after="0" w:line="240" w:lineRule="auto"/>
        <w:contextualSpacing/>
        <w:rPr>
          <w:rFonts w:eastAsia="Times New Roman" w:cstheme="minorHAnsi"/>
          <w:color w:val="000000"/>
          <w:sz w:val="12"/>
          <w:szCs w:val="12"/>
        </w:rPr>
      </w:pPr>
    </w:p>
    <w:p w14:paraId="2E94593D" w14:textId="42249C7B" w:rsidR="00B83F0F" w:rsidRDefault="005B3EE4" w:rsidP="00FA4725">
      <w:pPr>
        <w:spacing w:after="0" w:line="240" w:lineRule="auto"/>
        <w:contextualSpacing/>
        <w:rPr>
          <w:rFonts w:eastAsia="Times New Roman" w:cstheme="minorHAnsi"/>
          <w:color w:val="000000"/>
          <w:sz w:val="21"/>
          <w:szCs w:val="21"/>
        </w:rPr>
      </w:pPr>
      <w:r w:rsidRPr="00A74EC4">
        <w:rPr>
          <w:rFonts w:eastAsia="Times New Roman" w:cstheme="minorHAnsi"/>
          <w:b/>
          <w:color w:val="000000"/>
          <w:sz w:val="21"/>
          <w:szCs w:val="21"/>
        </w:rPr>
        <w:t>National Housing Trust Fund</w:t>
      </w:r>
      <w:r w:rsidR="00BF7F70">
        <w:rPr>
          <w:rFonts w:eastAsia="Times New Roman" w:cstheme="minorHAnsi"/>
          <w:b/>
          <w:color w:val="000000"/>
          <w:sz w:val="21"/>
          <w:szCs w:val="21"/>
        </w:rPr>
        <w:t xml:space="preserve"> – </w:t>
      </w:r>
      <w:r w:rsidR="00BF7F70" w:rsidRPr="00BF7F70">
        <w:rPr>
          <w:rFonts w:eastAsia="Times New Roman" w:cstheme="minorHAnsi"/>
          <w:b/>
          <w:i/>
          <w:color w:val="000000"/>
          <w:sz w:val="21"/>
          <w:szCs w:val="21"/>
          <w:u w:val="single"/>
        </w:rPr>
        <w:t>No New Update</w:t>
      </w:r>
      <w:r w:rsidRPr="00A74EC4">
        <w:rPr>
          <w:rFonts w:eastAsia="Times New Roman" w:cstheme="minorHAnsi"/>
          <w:b/>
          <w:color w:val="000000"/>
          <w:sz w:val="21"/>
          <w:szCs w:val="21"/>
        </w:rPr>
        <w:t xml:space="preserve">: </w:t>
      </w:r>
      <w:r w:rsidRPr="00A74EC4">
        <w:rPr>
          <w:rFonts w:eastAsia="Times New Roman" w:cstheme="minorHAnsi"/>
          <w:color w:val="000000"/>
          <w:sz w:val="21"/>
          <w:szCs w:val="21"/>
        </w:rPr>
        <w:t xml:space="preserve"> The HTF is the only federal program designed to build and preserve housing affordable to people with the lowest incomes.  We must ensure that the program is protected – not eliminated.  </w:t>
      </w:r>
    </w:p>
    <w:p w14:paraId="54062A0A" w14:textId="212DDBE6" w:rsidR="00C02D6A" w:rsidRPr="00417E10" w:rsidRDefault="00C02D6A" w:rsidP="00FA4725">
      <w:pPr>
        <w:spacing w:after="0" w:line="240" w:lineRule="auto"/>
        <w:contextualSpacing/>
        <w:rPr>
          <w:rFonts w:eastAsia="Times New Roman" w:cstheme="minorHAnsi"/>
          <w:b/>
          <w:sz w:val="12"/>
          <w:szCs w:val="12"/>
        </w:rPr>
      </w:pPr>
    </w:p>
    <w:p w14:paraId="23AD318A" w14:textId="50DF4867" w:rsidR="00C02D6A" w:rsidRDefault="00C02D6A" w:rsidP="00FA4725">
      <w:pPr>
        <w:spacing w:after="0" w:line="240" w:lineRule="auto"/>
        <w:contextualSpacing/>
        <w:rPr>
          <w:rFonts w:eastAsia="Times New Roman" w:cstheme="minorHAnsi"/>
          <w:sz w:val="21"/>
          <w:szCs w:val="21"/>
        </w:rPr>
      </w:pPr>
      <w:r w:rsidRPr="00C02D6A">
        <w:rPr>
          <w:rFonts w:eastAsia="Times New Roman" w:cstheme="minorHAnsi"/>
          <w:b/>
          <w:sz w:val="21"/>
          <w:szCs w:val="21"/>
        </w:rPr>
        <w:t xml:space="preserve">Senator Collins has introduced the Lower Premiums Through Reinsurance Act of 2017 – </w:t>
      </w:r>
      <w:r w:rsidR="005C45FE" w:rsidRPr="005C45FE">
        <w:rPr>
          <w:rFonts w:eastAsia="Times New Roman" w:cstheme="minorHAnsi"/>
          <w:b/>
          <w:i/>
          <w:sz w:val="21"/>
          <w:szCs w:val="21"/>
          <w:highlight w:val="yellow"/>
          <w:u w:val="single"/>
        </w:rPr>
        <w:t>Update</w:t>
      </w:r>
      <w:r w:rsidR="0066382E" w:rsidRPr="0066382E">
        <w:rPr>
          <w:rFonts w:eastAsia="Times New Roman" w:cstheme="minorHAnsi"/>
          <w:b/>
          <w:i/>
          <w:sz w:val="21"/>
          <w:szCs w:val="21"/>
        </w:rPr>
        <w:t xml:space="preserve">. </w:t>
      </w:r>
      <w:r w:rsidRPr="0066382E">
        <w:rPr>
          <w:rFonts w:eastAsia="Times New Roman" w:cstheme="minorHAnsi"/>
          <w:sz w:val="21"/>
          <w:szCs w:val="21"/>
        </w:rPr>
        <w:t>(</w:t>
      </w:r>
      <w:r w:rsidRPr="00C02D6A">
        <w:rPr>
          <w:rFonts w:eastAsia="Times New Roman" w:cstheme="minorHAnsi"/>
          <w:sz w:val="21"/>
          <w:szCs w:val="21"/>
        </w:rPr>
        <w:t xml:space="preserve">jointly sponsored with Sen Nelson, D-FL). This bill would give states some options--including options in the style of Maine's "PL 90" invisible </w:t>
      </w:r>
      <w:r w:rsidR="00FA4725" w:rsidRPr="00C02D6A">
        <w:rPr>
          <w:rFonts w:eastAsia="Times New Roman" w:cstheme="minorHAnsi"/>
          <w:sz w:val="21"/>
          <w:szCs w:val="21"/>
        </w:rPr>
        <w:t>high-</w:t>
      </w:r>
      <w:r w:rsidR="00FA4725" w:rsidRPr="00C02D6A">
        <w:rPr>
          <w:rFonts w:eastAsia="Times New Roman" w:cstheme="minorHAnsi"/>
          <w:sz w:val="21"/>
          <w:szCs w:val="21"/>
        </w:rPr>
        <w:lastRenderedPageBreak/>
        <w:t>risk</w:t>
      </w:r>
      <w:r w:rsidRPr="00C02D6A">
        <w:rPr>
          <w:rFonts w:eastAsia="Times New Roman" w:cstheme="minorHAnsi"/>
          <w:sz w:val="21"/>
          <w:szCs w:val="21"/>
        </w:rPr>
        <w:t xml:space="preserve"> pool that was in effect briefly before the ACA was passed--for stabilizing insurance markets. </w:t>
      </w:r>
      <w:r w:rsidR="005C45FE">
        <w:rPr>
          <w:rFonts w:eastAsia="Times New Roman" w:cstheme="minorHAnsi"/>
          <w:sz w:val="21"/>
          <w:szCs w:val="21"/>
        </w:rPr>
        <w:t xml:space="preserve"> </w:t>
      </w:r>
      <w:r w:rsidRPr="00C02D6A">
        <w:rPr>
          <w:rFonts w:eastAsia="Times New Roman" w:cstheme="minorHAnsi"/>
          <w:sz w:val="21"/>
          <w:szCs w:val="21"/>
        </w:rPr>
        <w:t>This bill could work in concert with other reforms that had been considered</w:t>
      </w:r>
      <w:r w:rsidR="005C45FE">
        <w:rPr>
          <w:rFonts w:eastAsia="Times New Roman" w:cstheme="minorHAnsi"/>
          <w:sz w:val="21"/>
          <w:szCs w:val="21"/>
        </w:rPr>
        <w:t xml:space="preserve"> by the Senate Health committee, most notably the Alexander-Murray bill, an individual market reform bill.  </w:t>
      </w:r>
      <w:r w:rsidR="00722280">
        <w:rPr>
          <w:rFonts w:eastAsia="Times New Roman" w:cstheme="minorHAnsi"/>
          <w:sz w:val="21"/>
          <w:szCs w:val="21"/>
        </w:rPr>
        <w:t xml:space="preserve">Senator Collins believes she has assured passage of these bills from Senate and House leadership, in part for her vote on the tax bill.  </w:t>
      </w:r>
      <w:r w:rsidR="005C45FE">
        <w:rPr>
          <w:rFonts w:eastAsia="Times New Roman" w:cstheme="minorHAnsi"/>
          <w:sz w:val="21"/>
          <w:szCs w:val="21"/>
        </w:rPr>
        <w:t xml:space="preserve">Both bills are bipartisan, and on their own good policy, </w:t>
      </w:r>
      <w:r w:rsidR="00FA4725">
        <w:rPr>
          <w:rFonts w:eastAsia="Times New Roman" w:cstheme="minorHAnsi"/>
          <w:sz w:val="21"/>
          <w:szCs w:val="21"/>
        </w:rPr>
        <w:t xml:space="preserve">however </w:t>
      </w:r>
      <w:r w:rsidR="005C45FE">
        <w:rPr>
          <w:rFonts w:eastAsia="Times New Roman" w:cstheme="minorHAnsi"/>
          <w:sz w:val="21"/>
          <w:szCs w:val="21"/>
        </w:rPr>
        <w:t xml:space="preserve">even combined they would not </w:t>
      </w:r>
      <w:r w:rsidR="00721461" w:rsidRPr="00721461">
        <w:rPr>
          <w:rFonts w:eastAsia="Times New Roman" w:cstheme="minorHAnsi"/>
          <w:sz w:val="21"/>
          <w:szCs w:val="21"/>
        </w:rPr>
        <w:t xml:space="preserve">be sufficient to offset the effects of the </w:t>
      </w:r>
      <w:r w:rsidR="00FE4781">
        <w:rPr>
          <w:rFonts w:eastAsia="Times New Roman" w:cstheme="minorHAnsi"/>
          <w:sz w:val="21"/>
          <w:szCs w:val="21"/>
        </w:rPr>
        <w:t xml:space="preserve">enacted </w:t>
      </w:r>
      <w:r w:rsidR="00721461" w:rsidRPr="00721461">
        <w:rPr>
          <w:rFonts w:eastAsia="Times New Roman" w:cstheme="minorHAnsi"/>
          <w:sz w:val="21"/>
          <w:szCs w:val="21"/>
        </w:rPr>
        <w:t xml:space="preserve">tax </w:t>
      </w:r>
      <w:r w:rsidR="00FE4781">
        <w:rPr>
          <w:rFonts w:eastAsia="Times New Roman" w:cstheme="minorHAnsi"/>
          <w:sz w:val="21"/>
          <w:szCs w:val="21"/>
        </w:rPr>
        <w:t>bill</w:t>
      </w:r>
      <w:r w:rsidR="005C45FE">
        <w:rPr>
          <w:rFonts w:eastAsia="Times New Roman" w:cstheme="minorHAnsi"/>
          <w:sz w:val="21"/>
          <w:szCs w:val="21"/>
        </w:rPr>
        <w:t xml:space="preserve">.   </w:t>
      </w:r>
    </w:p>
    <w:p w14:paraId="4B2ECBB5" w14:textId="77777777" w:rsidR="00761ACF" w:rsidRPr="00761ACF" w:rsidRDefault="00761ACF" w:rsidP="00FA4725">
      <w:pPr>
        <w:spacing w:after="0" w:line="240" w:lineRule="auto"/>
        <w:contextualSpacing/>
        <w:rPr>
          <w:rFonts w:eastAsia="Times New Roman" w:cstheme="minorHAnsi"/>
          <w:b/>
          <w:color w:val="000000"/>
          <w:sz w:val="12"/>
          <w:szCs w:val="12"/>
        </w:rPr>
      </w:pPr>
    </w:p>
    <w:p w14:paraId="566FB962" w14:textId="24C95C34" w:rsidR="00860558" w:rsidRDefault="00A902FF" w:rsidP="00FA4725">
      <w:pPr>
        <w:spacing w:after="0" w:line="240" w:lineRule="auto"/>
        <w:contextualSpacing/>
        <w:rPr>
          <w:rFonts w:eastAsia="Times New Roman" w:cstheme="minorHAnsi"/>
          <w:color w:val="000000"/>
          <w:sz w:val="21"/>
          <w:szCs w:val="21"/>
        </w:rPr>
      </w:pPr>
      <w:r w:rsidRPr="00A74EC4">
        <w:rPr>
          <w:rFonts w:eastAsia="Times New Roman" w:cstheme="minorHAnsi"/>
          <w:b/>
          <w:color w:val="000000"/>
          <w:sz w:val="21"/>
          <w:szCs w:val="21"/>
        </w:rPr>
        <w:t xml:space="preserve">S. 743:  </w:t>
      </w:r>
      <w:r w:rsidR="00860558" w:rsidRPr="00A74EC4">
        <w:rPr>
          <w:rFonts w:eastAsia="Times New Roman" w:cstheme="minorHAnsi"/>
          <w:b/>
          <w:color w:val="000000"/>
          <w:sz w:val="21"/>
          <w:szCs w:val="21"/>
        </w:rPr>
        <w:t>A Bill to Strengthen the United Stated Interagency Council on Homelessness</w:t>
      </w:r>
      <w:r w:rsidR="00BF7F70">
        <w:rPr>
          <w:rFonts w:eastAsia="Times New Roman" w:cstheme="minorHAnsi"/>
          <w:b/>
          <w:color w:val="000000"/>
          <w:sz w:val="21"/>
          <w:szCs w:val="21"/>
        </w:rPr>
        <w:t xml:space="preserve"> </w:t>
      </w:r>
      <w:r w:rsidR="00BF7F70" w:rsidRPr="00BF7F70">
        <w:rPr>
          <w:rFonts w:eastAsia="Times New Roman" w:cstheme="minorHAnsi"/>
          <w:b/>
          <w:i/>
          <w:color w:val="000000"/>
          <w:sz w:val="21"/>
          <w:szCs w:val="21"/>
          <w:u w:val="single"/>
        </w:rPr>
        <w:t>No New Update</w:t>
      </w:r>
      <w:r w:rsidR="00BF7F70">
        <w:rPr>
          <w:rFonts w:eastAsia="Times New Roman" w:cstheme="minorHAnsi"/>
          <w:b/>
          <w:i/>
          <w:color w:val="000000"/>
          <w:sz w:val="21"/>
          <w:szCs w:val="21"/>
          <w:u w:val="single"/>
        </w:rPr>
        <w:t>.</w:t>
      </w:r>
      <w:r w:rsidRPr="00A74EC4">
        <w:rPr>
          <w:rFonts w:eastAsia="Times New Roman" w:cstheme="minorHAnsi"/>
          <w:b/>
          <w:color w:val="000000"/>
          <w:sz w:val="21"/>
          <w:szCs w:val="21"/>
        </w:rPr>
        <w:t xml:space="preserve"> </w:t>
      </w:r>
      <w:r w:rsidR="00BF7F70">
        <w:rPr>
          <w:rFonts w:eastAsia="Times New Roman" w:cstheme="minorHAnsi"/>
          <w:b/>
          <w:color w:val="000000"/>
          <w:sz w:val="21"/>
          <w:szCs w:val="21"/>
        </w:rPr>
        <w:t xml:space="preserve"> </w:t>
      </w:r>
      <w:r w:rsidR="00860558" w:rsidRPr="00A74EC4">
        <w:rPr>
          <w:rFonts w:eastAsia="Times New Roman" w:cstheme="minorHAnsi"/>
          <w:color w:val="000000"/>
          <w:sz w:val="21"/>
          <w:szCs w:val="21"/>
        </w:rPr>
        <w:t xml:space="preserve">Senators Collins and Reed </w:t>
      </w:r>
      <w:r w:rsidR="00D63E0E" w:rsidRPr="00A74EC4">
        <w:rPr>
          <w:rFonts w:eastAsia="Times New Roman" w:cstheme="minorHAnsi"/>
          <w:color w:val="000000"/>
          <w:sz w:val="21"/>
          <w:szCs w:val="21"/>
        </w:rPr>
        <w:t xml:space="preserve">introduced legislation on 3/28 to strengthen and </w:t>
      </w:r>
      <w:r w:rsidR="00860558" w:rsidRPr="00A74EC4">
        <w:rPr>
          <w:rFonts w:eastAsia="Times New Roman" w:cstheme="minorHAnsi"/>
          <w:color w:val="000000"/>
          <w:sz w:val="21"/>
          <w:szCs w:val="21"/>
        </w:rPr>
        <w:t>eliminate the sunset for the U.S. Interagency Council on Homelessness (USICH).</w:t>
      </w:r>
      <w:r w:rsidRPr="00A74EC4">
        <w:rPr>
          <w:rFonts w:eastAsia="Times New Roman" w:cstheme="minorHAnsi"/>
          <w:color w:val="000000"/>
          <w:sz w:val="21"/>
          <w:szCs w:val="21"/>
        </w:rPr>
        <w:t xml:space="preserve">  Referred to the Senate Committee on Banking, Housing, and Urban Affairs. </w:t>
      </w:r>
      <w:r w:rsidR="00860558" w:rsidRPr="00A74EC4">
        <w:rPr>
          <w:rFonts w:eastAsia="Times New Roman" w:cstheme="minorHAnsi"/>
          <w:color w:val="000000"/>
          <w:sz w:val="21"/>
          <w:szCs w:val="21"/>
        </w:rPr>
        <w:t xml:space="preserve">     </w:t>
      </w:r>
    </w:p>
    <w:p w14:paraId="5BE2FDFF" w14:textId="77777777" w:rsidR="00FA4725" w:rsidRPr="00FA4725" w:rsidRDefault="00FA4725" w:rsidP="00FA4725">
      <w:pPr>
        <w:spacing w:after="0" w:line="240" w:lineRule="auto"/>
        <w:contextualSpacing/>
        <w:rPr>
          <w:rFonts w:eastAsia="Times New Roman" w:cstheme="minorHAnsi"/>
          <w:b/>
          <w:color w:val="000000"/>
          <w:sz w:val="12"/>
          <w:szCs w:val="12"/>
        </w:rPr>
      </w:pPr>
    </w:p>
    <w:p w14:paraId="3AAF78BF" w14:textId="5C49548F" w:rsidR="00D63E0E" w:rsidRDefault="002022ED" w:rsidP="00FA4725">
      <w:pPr>
        <w:spacing w:after="0" w:line="240" w:lineRule="auto"/>
        <w:contextualSpacing/>
        <w:rPr>
          <w:rFonts w:eastAsia="Times New Roman" w:cstheme="minorHAnsi"/>
          <w:color w:val="000000"/>
          <w:sz w:val="21"/>
          <w:szCs w:val="21"/>
        </w:rPr>
      </w:pPr>
      <w:r w:rsidRPr="00A74EC4">
        <w:rPr>
          <w:rFonts w:eastAsia="Times New Roman" w:cstheme="minorHAnsi"/>
          <w:b/>
          <w:color w:val="000000"/>
          <w:sz w:val="21"/>
          <w:szCs w:val="21"/>
        </w:rPr>
        <w:t>Senate Democrats Unveil Comprehensive Infrastructure Plan, Affordable Housing Included</w:t>
      </w:r>
      <w:r w:rsidR="00BF7F70">
        <w:rPr>
          <w:rFonts w:eastAsia="Times New Roman" w:cstheme="minorHAnsi"/>
          <w:b/>
          <w:color w:val="000000"/>
          <w:sz w:val="21"/>
          <w:szCs w:val="21"/>
        </w:rPr>
        <w:t xml:space="preserve"> </w:t>
      </w:r>
      <w:r w:rsidR="00BF7F70" w:rsidRPr="00BF7F70">
        <w:rPr>
          <w:rFonts w:eastAsia="Times New Roman" w:cstheme="minorHAnsi"/>
          <w:b/>
          <w:i/>
          <w:color w:val="000000"/>
          <w:sz w:val="21"/>
          <w:szCs w:val="21"/>
          <w:u w:val="single"/>
        </w:rPr>
        <w:t>No New Update</w:t>
      </w:r>
      <w:r w:rsidR="00BF7F70">
        <w:rPr>
          <w:rFonts w:eastAsia="Times New Roman" w:cstheme="minorHAnsi"/>
          <w:b/>
          <w:i/>
          <w:color w:val="000000"/>
          <w:sz w:val="21"/>
          <w:szCs w:val="21"/>
          <w:u w:val="single"/>
        </w:rPr>
        <w:t>.</w:t>
      </w:r>
      <w:r w:rsidRPr="00A74EC4">
        <w:rPr>
          <w:rFonts w:eastAsia="Times New Roman" w:cstheme="minorHAnsi"/>
          <w:b/>
          <w:color w:val="000000"/>
          <w:sz w:val="21"/>
          <w:szCs w:val="21"/>
        </w:rPr>
        <w:t xml:space="preserve"> </w:t>
      </w:r>
      <w:r w:rsidR="00BF7F70">
        <w:rPr>
          <w:rFonts w:eastAsia="Times New Roman" w:cstheme="minorHAnsi"/>
          <w:b/>
          <w:color w:val="000000"/>
          <w:sz w:val="21"/>
          <w:szCs w:val="21"/>
        </w:rPr>
        <w:t xml:space="preserve"> </w:t>
      </w:r>
      <w:r w:rsidRPr="00A74EC4">
        <w:rPr>
          <w:rFonts w:eastAsia="Times New Roman" w:cstheme="minorHAnsi"/>
          <w:color w:val="000000"/>
          <w:sz w:val="21"/>
          <w:szCs w:val="21"/>
        </w:rPr>
        <w:t>Senate Democrats unveiled their infrastructure plan</w:t>
      </w:r>
      <w:r w:rsidR="00B16C1D">
        <w:rPr>
          <w:rFonts w:eastAsia="Times New Roman" w:cstheme="minorHAnsi"/>
          <w:color w:val="000000"/>
          <w:sz w:val="21"/>
          <w:szCs w:val="21"/>
        </w:rPr>
        <w:t>, a $1 trillion plan aiming</w:t>
      </w:r>
      <w:r w:rsidRPr="00A74EC4">
        <w:rPr>
          <w:rFonts w:eastAsia="Times New Roman" w:cstheme="minorHAnsi"/>
          <w:color w:val="000000"/>
          <w:sz w:val="21"/>
          <w:szCs w:val="21"/>
        </w:rPr>
        <w:t xml:space="preserve"> to create over 15 million jobs, and addresses issues including broadband internet, downtown revitalization, water and sewer, schools, roads and bridges, and also includes investments for public and affordable housing.</w:t>
      </w:r>
    </w:p>
    <w:p w14:paraId="043DE21F" w14:textId="77777777" w:rsidR="00FA4725" w:rsidRPr="00FA4725" w:rsidRDefault="00FA4725" w:rsidP="00FA4725">
      <w:pPr>
        <w:spacing w:after="0" w:line="240" w:lineRule="auto"/>
        <w:contextualSpacing/>
        <w:rPr>
          <w:rFonts w:eastAsia="Times New Roman" w:cstheme="minorHAnsi"/>
          <w:b/>
          <w:color w:val="000000"/>
          <w:sz w:val="12"/>
          <w:szCs w:val="12"/>
        </w:rPr>
      </w:pPr>
    </w:p>
    <w:p w14:paraId="479979D4" w14:textId="78EB62F7" w:rsidR="00D63E0E" w:rsidRDefault="00D63E0E" w:rsidP="00FA4725">
      <w:pPr>
        <w:spacing w:after="0" w:line="240" w:lineRule="auto"/>
        <w:contextualSpacing/>
        <w:rPr>
          <w:rFonts w:eastAsia="Times New Roman" w:cstheme="minorHAnsi"/>
          <w:color w:val="000000"/>
          <w:sz w:val="21"/>
          <w:szCs w:val="21"/>
        </w:rPr>
      </w:pPr>
      <w:r w:rsidRPr="00A74EC4">
        <w:rPr>
          <w:rFonts w:eastAsia="Times New Roman" w:cstheme="minorHAnsi"/>
          <w:b/>
          <w:color w:val="000000"/>
          <w:sz w:val="21"/>
          <w:szCs w:val="21"/>
        </w:rPr>
        <w:t>H.R. 161:  Services for Endin</w:t>
      </w:r>
      <w:r w:rsidR="00B16C1D">
        <w:rPr>
          <w:rFonts w:eastAsia="Times New Roman" w:cstheme="minorHAnsi"/>
          <w:b/>
          <w:color w:val="000000"/>
          <w:sz w:val="21"/>
          <w:szCs w:val="21"/>
        </w:rPr>
        <w:t>g Long-</w:t>
      </w:r>
      <w:r w:rsidR="00BF7F70">
        <w:rPr>
          <w:rFonts w:eastAsia="Times New Roman" w:cstheme="minorHAnsi"/>
          <w:b/>
          <w:color w:val="000000"/>
          <w:sz w:val="21"/>
          <w:szCs w:val="21"/>
        </w:rPr>
        <w:t xml:space="preserve">Term Homelessness Act – </w:t>
      </w:r>
      <w:r w:rsidR="00BF7F70" w:rsidRPr="00BF7F70">
        <w:rPr>
          <w:rFonts w:eastAsia="Times New Roman" w:cstheme="minorHAnsi"/>
          <w:b/>
          <w:i/>
          <w:color w:val="000000"/>
          <w:sz w:val="21"/>
          <w:szCs w:val="21"/>
          <w:u w:val="single"/>
        </w:rPr>
        <w:t>No New Update</w:t>
      </w:r>
      <w:r w:rsidR="00BF7F70">
        <w:rPr>
          <w:rFonts w:eastAsia="Times New Roman" w:cstheme="minorHAnsi"/>
          <w:b/>
          <w:i/>
          <w:color w:val="000000"/>
          <w:sz w:val="21"/>
          <w:szCs w:val="21"/>
          <w:u w:val="single"/>
        </w:rPr>
        <w:t>.</w:t>
      </w:r>
      <w:r w:rsidR="00BF7F70">
        <w:rPr>
          <w:rFonts w:eastAsia="Times New Roman" w:cstheme="minorHAnsi"/>
          <w:b/>
          <w:color w:val="000000"/>
          <w:sz w:val="21"/>
          <w:szCs w:val="21"/>
        </w:rPr>
        <w:t xml:space="preserve">  </w:t>
      </w:r>
      <w:r w:rsidRPr="00B16C1D">
        <w:rPr>
          <w:rFonts w:eastAsia="Times New Roman" w:cstheme="minorHAnsi"/>
          <w:color w:val="000000"/>
          <w:sz w:val="21"/>
          <w:szCs w:val="21"/>
        </w:rPr>
        <w:t xml:space="preserve">Sponsored by Representative Hastings (Florida). </w:t>
      </w:r>
      <w:r w:rsidRPr="00A74EC4">
        <w:rPr>
          <w:rFonts w:eastAsia="Times New Roman" w:cstheme="minorHAnsi"/>
          <w:b/>
          <w:color w:val="000000"/>
          <w:sz w:val="21"/>
          <w:szCs w:val="21"/>
        </w:rPr>
        <w:t xml:space="preserve"> </w:t>
      </w:r>
      <w:r w:rsidRPr="00A74EC4">
        <w:rPr>
          <w:rFonts w:eastAsia="Times New Roman" w:cstheme="minorHAnsi"/>
          <w:color w:val="000000"/>
          <w:sz w:val="21"/>
          <w:szCs w:val="21"/>
        </w:rPr>
        <w:t>This bill would amend the Public Health Service Act to establish a grant program to provide supportive services in permanent supportive housing for chronically homeless individuals and families, and for other purposes.  Referred to the House Energy and Commerce committee.</w:t>
      </w:r>
    </w:p>
    <w:p w14:paraId="7940A892" w14:textId="77777777" w:rsidR="00FA4725" w:rsidRPr="00FA4725" w:rsidRDefault="00FA4725" w:rsidP="00FA4725">
      <w:pPr>
        <w:spacing w:after="0" w:line="240" w:lineRule="auto"/>
        <w:contextualSpacing/>
        <w:rPr>
          <w:rFonts w:eastAsia="Times New Roman" w:cstheme="minorHAnsi"/>
          <w:color w:val="000000"/>
          <w:sz w:val="12"/>
          <w:szCs w:val="12"/>
        </w:rPr>
      </w:pPr>
    </w:p>
    <w:p w14:paraId="30F7B900" w14:textId="2C100AB8" w:rsidR="00D25B9F" w:rsidRDefault="0025492E" w:rsidP="00FA4725">
      <w:pPr>
        <w:spacing w:after="0" w:line="240" w:lineRule="auto"/>
        <w:contextualSpacing/>
        <w:rPr>
          <w:rFonts w:cstheme="minorHAnsi"/>
          <w:sz w:val="21"/>
          <w:szCs w:val="21"/>
        </w:rPr>
      </w:pPr>
      <w:r w:rsidRPr="00A74EC4">
        <w:rPr>
          <w:rFonts w:eastAsia="Times New Roman" w:cstheme="minorHAnsi"/>
          <w:b/>
          <w:color w:val="000000"/>
          <w:sz w:val="21"/>
          <w:szCs w:val="21"/>
        </w:rPr>
        <w:t>H.R. 948:  The Common Sense Housing Investment Act</w:t>
      </w:r>
      <w:r w:rsidR="0039081C">
        <w:rPr>
          <w:rFonts w:eastAsia="Times New Roman" w:cstheme="minorHAnsi"/>
          <w:b/>
          <w:color w:val="000000"/>
          <w:sz w:val="21"/>
          <w:szCs w:val="21"/>
        </w:rPr>
        <w:t xml:space="preserve"> of 2017.  </w:t>
      </w:r>
      <w:r w:rsidR="0039081C">
        <w:rPr>
          <w:rFonts w:eastAsia="Times New Roman" w:cstheme="minorHAnsi"/>
          <w:color w:val="000000"/>
          <w:sz w:val="21"/>
          <w:szCs w:val="21"/>
        </w:rPr>
        <w:t xml:space="preserve">Sponsored by Rep. Keith Ellison. </w:t>
      </w:r>
      <w:r w:rsidR="00BF7F70" w:rsidRPr="00BF7F70">
        <w:rPr>
          <w:rFonts w:eastAsia="Times New Roman" w:cstheme="minorHAnsi"/>
          <w:b/>
          <w:i/>
          <w:color w:val="000000"/>
          <w:sz w:val="21"/>
          <w:szCs w:val="21"/>
          <w:u w:val="single"/>
        </w:rPr>
        <w:t>No New Update</w:t>
      </w:r>
      <w:r w:rsidR="00BF7F70">
        <w:rPr>
          <w:rFonts w:eastAsia="Times New Roman" w:cstheme="minorHAnsi"/>
          <w:b/>
          <w:i/>
          <w:color w:val="000000"/>
          <w:sz w:val="21"/>
          <w:szCs w:val="21"/>
          <w:u w:val="single"/>
        </w:rPr>
        <w:t>.</w:t>
      </w:r>
      <w:r w:rsidRPr="00A74EC4">
        <w:rPr>
          <w:rFonts w:eastAsia="Times New Roman" w:cstheme="minorHAnsi"/>
          <w:b/>
          <w:color w:val="000000"/>
          <w:sz w:val="21"/>
          <w:szCs w:val="21"/>
        </w:rPr>
        <w:t xml:space="preserve">  </w:t>
      </w:r>
      <w:r w:rsidR="0039081C" w:rsidRPr="0039081C">
        <w:rPr>
          <w:rFonts w:eastAsia="Times New Roman" w:cstheme="minorHAnsi"/>
          <w:color w:val="000000"/>
          <w:sz w:val="21"/>
          <w:szCs w:val="21"/>
        </w:rPr>
        <w:t>To amend the Internal Revenue Code of 1986 to replace the mortgage interest deduction with a nonrefundable credit for indebtedness secured by a residence, to provide affordable housing to extremely low-income families, and for other purposes</w:t>
      </w:r>
      <w:r w:rsidR="0039081C">
        <w:rPr>
          <w:rFonts w:eastAsia="Times New Roman" w:cstheme="minorHAnsi"/>
          <w:color w:val="000000"/>
          <w:sz w:val="21"/>
          <w:szCs w:val="21"/>
        </w:rPr>
        <w:t>.</w:t>
      </w:r>
      <w:r w:rsidR="00B83F0F" w:rsidRPr="00A74EC4">
        <w:rPr>
          <w:rFonts w:eastAsia="Times New Roman" w:cstheme="minorHAnsi"/>
          <w:color w:val="000000"/>
          <w:sz w:val="21"/>
          <w:szCs w:val="21"/>
        </w:rPr>
        <w:t xml:space="preserve">   </w:t>
      </w:r>
      <w:r w:rsidRPr="00A74EC4">
        <w:rPr>
          <w:rFonts w:eastAsia="Times New Roman" w:cstheme="minorHAnsi"/>
          <w:color w:val="000000"/>
          <w:sz w:val="21"/>
          <w:szCs w:val="21"/>
        </w:rPr>
        <w:t xml:space="preserve">  </w:t>
      </w:r>
      <w:r w:rsidR="00BB3420" w:rsidRPr="00A74EC4">
        <w:rPr>
          <w:rFonts w:cstheme="minorHAnsi"/>
          <w:sz w:val="21"/>
          <w:szCs w:val="21"/>
        </w:rPr>
        <w:t xml:space="preserve">  </w:t>
      </w:r>
    </w:p>
    <w:p w14:paraId="7E780EC1" w14:textId="77777777" w:rsidR="00FA4725" w:rsidRPr="00FA4725" w:rsidRDefault="00FA4725" w:rsidP="00FA4725">
      <w:pPr>
        <w:spacing w:after="0" w:line="240" w:lineRule="auto"/>
        <w:contextualSpacing/>
        <w:rPr>
          <w:rFonts w:cstheme="minorHAnsi"/>
          <w:sz w:val="12"/>
          <w:szCs w:val="12"/>
        </w:rPr>
      </w:pPr>
    </w:p>
    <w:p w14:paraId="46F68877" w14:textId="38652B9E" w:rsidR="00030CF5" w:rsidRPr="00A74EC4" w:rsidRDefault="00030CF5" w:rsidP="00FA4725">
      <w:pPr>
        <w:spacing w:after="0" w:line="240" w:lineRule="auto"/>
        <w:contextualSpacing/>
        <w:rPr>
          <w:rFonts w:eastAsia="Times New Roman" w:cstheme="minorHAnsi"/>
          <w:color w:val="000000"/>
          <w:sz w:val="21"/>
          <w:szCs w:val="21"/>
        </w:rPr>
      </w:pPr>
      <w:r w:rsidRPr="00A74EC4">
        <w:rPr>
          <w:rFonts w:eastAsia="Times New Roman" w:cstheme="minorHAnsi"/>
          <w:b/>
          <w:color w:val="000000"/>
          <w:sz w:val="21"/>
          <w:szCs w:val="21"/>
        </w:rPr>
        <w:t xml:space="preserve">H.R. </w:t>
      </w:r>
      <w:r w:rsidR="0039081C">
        <w:rPr>
          <w:rFonts w:eastAsia="Times New Roman" w:cstheme="minorHAnsi"/>
          <w:b/>
          <w:color w:val="000000"/>
          <w:sz w:val="21"/>
          <w:szCs w:val="21"/>
        </w:rPr>
        <w:t>2076</w:t>
      </w:r>
      <w:r w:rsidRPr="00A74EC4">
        <w:rPr>
          <w:rFonts w:eastAsia="Times New Roman" w:cstheme="minorHAnsi"/>
          <w:b/>
          <w:color w:val="000000"/>
          <w:sz w:val="21"/>
          <w:szCs w:val="21"/>
        </w:rPr>
        <w:t>:</w:t>
      </w:r>
      <w:r w:rsidR="0039081C">
        <w:rPr>
          <w:rFonts w:eastAsia="Times New Roman" w:cstheme="minorHAnsi"/>
          <w:b/>
          <w:color w:val="000000"/>
          <w:sz w:val="21"/>
          <w:szCs w:val="21"/>
        </w:rPr>
        <w:t xml:space="preserve"> Ending Homelessness Act of 2017</w:t>
      </w:r>
      <w:r w:rsidR="00BF7F70">
        <w:rPr>
          <w:rFonts w:eastAsia="Times New Roman" w:cstheme="minorHAnsi"/>
          <w:color w:val="000000"/>
          <w:sz w:val="21"/>
          <w:szCs w:val="21"/>
        </w:rPr>
        <w:t xml:space="preserve"> </w:t>
      </w:r>
      <w:r w:rsidR="00BF7F70">
        <w:rPr>
          <w:rFonts w:cstheme="minorHAnsi"/>
          <w:b/>
          <w:sz w:val="21"/>
          <w:szCs w:val="21"/>
        </w:rPr>
        <w:t xml:space="preserve">– </w:t>
      </w:r>
      <w:r w:rsidR="00BF7F70" w:rsidRPr="00BF7F70">
        <w:rPr>
          <w:rFonts w:eastAsia="Times New Roman" w:cstheme="minorHAnsi"/>
          <w:b/>
          <w:i/>
          <w:color w:val="000000"/>
          <w:sz w:val="21"/>
          <w:szCs w:val="21"/>
          <w:u w:val="single"/>
        </w:rPr>
        <w:t>No New Update</w:t>
      </w:r>
      <w:r w:rsidRPr="00A74EC4">
        <w:rPr>
          <w:rFonts w:eastAsia="Times New Roman" w:cstheme="minorHAnsi"/>
          <w:b/>
          <w:i/>
          <w:color w:val="000000"/>
          <w:sz w:val="21"/>
          <w:szCs w:val="21"/>
        </w:rPr>
        <w:t>.</w:t>
      </w:r>
      <w:r w:rsidRPr="00A74EC4">
        <w:rPr>
          <w:rFonts w:eastAsia="Times New Roman" w:cstheme="minorHAnsi"/>
          <w:i/>
          <w:color w:val="000000"/>
          <w:sz w:val="21"/>
          <w:szCs w:val="21"/>
        </w:rPr>
        <w:t xml:space="preserve">  </w:t>
      </w:r>
      <w:r w:rsidR="0039081C">
        <w:rPr>
          <w:rFonts w:eastAsia="Times New Roman" w:cstheme="minorHAnsi"/>
          <w:color w:val="000000"/>
          <w:sz w:val="21"/>
          <w:szCs w:val="21"/>
        </w:rPr>
        <w:t>Introduced on 4</w:t>
      </w:r>
      <w:r w:rsidRPr="00A74EC4">
        <w:rPr>
          <w:rFonts w:eastAsia="Times New Roman" w:cstheme="minorHAnsi"/>
          <w:color w:val="000000"/>
          <w:sz w:val="21"/>
          <w:szCs w:val="21"/>
        </w:rPr>
        <w:t>/</w:t>
      </w:r>
      <w:r w:rsidR="0039081C">
        <w:rPr>
          <w:rFonts w:eastAsia="Times New Roman" w:cstheme="minorHAnsi"/>
          <w:color w:val="000000"/>
          <w:sz w:val="21"/>
          <w:szCs w:val="21"/>
        </w:rPr>
        <w:t>6</w:t>
      </w:r>
      <w:r w:rsidRPr="00A74EC4">
        <w:rPr>
          <w:rFonts w:eastAsia="Times New Roman" w:cstheme="minorHAnsi"/>
          <w:color w:val="000000"/>
          <w:sz w:val="21"/>
          <w:szCs w:val="21"/>
        </w:rPr>
        <w:t xml:space="preserve"> by House Financial Services Committee Ranking Member Maxine Waters (D-CA). </w:t>
      </w:r>
    </w:p>
    <w:p w14:paraId="6ED8BBBC" w14:textId="77777777" w:rsidR="00095BDB" w:rsidRPr="00A74EC4" w:rsidRDefault="00095BDB" w:rsidP="0054404A">
      <w:pPr>
        <w:pBdr>
          <w:bottom w:val="single" w:sz="12" w:space="1" w:color="auto"/>
        </w:pBdr>
        <w:spacing w:after="0" w:line="240" w:lineRule="auto"/>
        <w:contextualSpacing/>
        <w:rPr>
          <w:rFonts w:cstheme="minorHAnsi"/>
          <w:b/>
          <w:sz w:val="21"/>
          <w:szCs w:val="21"/>
        </w:rPr>
      </w:pPr>
    </w:p>
    <w:p w14:paraId="48229EE6" w14:textId="6170D4B2" w:rsidR="0004766B" w:rsidRPr="00A74EC4" w:rsidRDefault="0004766B" w:rsidP="0054404A">
      <w:pPr>
        <w:spacing w:after="0" w:line="240" w:lineRule="auto"/>
        <w:contextualSpacing/>
        <w:rPr>
          <w:rFonts w:cstheme="minorHAnsi"/>
          <w:b/>
          <w:sz w:val="12"/>
          <w:szCs w:val="12"/>
        </w:rPr>
      </w:pPr>
    </w:p>
    <w:p w14:paraId="640DA1EA" w14:textId="2B902BCB" w:rsidR="002817E7" w:rsidRDefault="00A73A3B" w:rsidP="0054404A">
      <w:pPr>
        <w:spacing w:after="0" w:line="240" w:lineRule="auto"/>
        <w:contextualSpacing/>
        <w:rPr>
          <w:rFonts w:cstheme="minorHAnsi"/>
          <w:sz w:val="21"/>
          <w:szCs w:val="21"/>
          <w:highlight w:val="yellow"/>
          <w:u w:val="single"/>
        </w:rPr>
      </w:pPr>
      <w:r w:rsidRPr="00A74EC4">
        <w:rPr>
          <w:rFonts w:cstheme="minorHAnsi"/>
          <w:b/>
          <w:sz w:val="21"/>
          <w:szCs w:val="21"/>
        </w:rPr>
        <w:t>State Legislation Update:</w:t>
      </w:r>
      <w:r w:rsidR="003F33FB">
        <w:rPr>
          <w:rFonts w:cstheme="minorHAnsi"/>
          <w:b/>
          <w:sz w:val="21"/>
          <w:szCs w:val="21"/>
        </w:rPr>
        <w:t xml:space="preserve">  </w:t>
      </w:r>
      <w:r w:rsidR="002760D4" w:rsidRPr="002760D4">
        <w:rPr>
          <w:rFonts w:cstheme="minorHAnsi"/>
          <w:sz w:val="21"/>
          <w:szCs w:val="21"/>
        </w:rPr>
        <w:t xml:space="preserve">Emergency bills </w:t>
      </w:r>
      <w:r w:rsidR="00722280">
        <w:rPr>
          <w:rFonts w:cstheme="minorHAnsi"/>
          <w:sz w:val="21"/>
          <w:szCs w:val="21"/>
        </w:rPr>
        <w:t xml:space="preserve">were </w:t>
      </w:r>
      <w:r w:rsidR="002760D4" w:rsidRPr="002760D4">
        <w:rPr>
          <w:rFonts w:cstheme="minorHAnsi"/>
          <w:sz w:val="21"/>
          <w:szCs w:val="21"/>
        </w:rPr>
        <w:t xml:space="preserve">considered via Legislative Review, </w:t>
      </w:r>
      <w:r w:rsidR="00722280">
        <w:rPr>
          <w:rFonts w:cstheme="minorHAnsi"/>
          <w:sz w:val="21"/>
          <w:szCs w:val="21"/>
        </w:rPr>
        <w:t xml:space="preserve">and appeal.  </w:t>
      </w:r>
      <w:r w:rsidR="002760D4" w:rsidRPr="002760D4">
        <w:rPr>
          <w:rFonts w:cstheme="minorHAnsi"/>
          <w:sz w:val="21"/>
          <w:szCs w:val="21"/>
        </w:rPr>
        <w:t>The second regular session of the 128</w:t>
      </w:r>
      <w:r w:rsidR="002760D4" w:rsidRPr="002760D4">
        <w:rPr>
          <w:rFonts w:cstheme="minorHAnsi"/>
          <w:sz w:val="21"/>
          <w:szCs w:val="21"/>
          <w:vertAlign w:val="superscript"/>
        </w:rPr>
        <w:t>th</w:t>
      </w:r>
      <w:r w:rsidR="002760D4" w:rsidRPr="002760D4">
        <w:rPr>
          <w:rFonts w:cstheme="minorHAnsi"/>
          <w:sz w:val="21"/>
          <w:szCs w:val="21"/>
        </w:rPr>
        <w:t xml:space="preserve"> Legislature</w:t>
      </w:r>
      <w:r w:rsidR="00722280">
        <w:rPr>
          <w:rFonts w:cstheme="minorHAnsi"/>
          <w:sz w:val="21"/>
          <w:szCs w:val="21"/>
        </w:rPr>
        <w:t>, commonly known as the short session,</w:t>
      </w:r>
      <w:r w:rsidR="002760D4" w:rsidRPr="002760D4">
        <w:rPr>
          <w:rFonts w:cstheme="minorHAnsi"/>
          <w:sz w:val="21"/>
          <w:szCs w:val="21"/>
        </w:rPr>
        <w:t xml:space="preserve"> will begin in January 2018.</w:t>
      </w:r>
      <w:r w:rsidR="003831BD" w:rsidRPr="002760D4">
        <w:rPr>
          <w:rFonts w:cstheme="minorHAnsi"/>
          <w:sz w:val="21"/>
          <w:szCs w:val="21"/>
          <w:highlight w:val="yellow"/>
          <w:u w:val="single"/>
        </w:rPr>
        <w:t xml:space="preserve"> </w:t>
      </w:r>
    </w:p>
    <w:p w14:paraId="54ECDA65" w14:textId="2E00DCFA" w:rsidR="00722280" w:rsidRPr="00FA4725" w:rsidRDefault="00722280" w:rsidP="0054404A">
      <w:pPr>
        <w:spacing w:after="0" w:line="240" w:lineRule="auto"/>
        <w:contextualSpacing/>
        <w:rPr>
          <w:rFonts w:cstheme="minorHAnsi"/>
          <w:sz w:val="12"/>
          <w:szCs w:val="12"/>
          <w:highlight w:val="yellow"/>
          <w:u w:val="single"/>
        </w:rPr>
      </w:pPr>
    </w:p>
    <w:p w14:paraId="722A3098" w14:textId="187CE4B9" w:rsidR="00722280" w:rsidRPr="00722280" w:rsidRDefault="00722280" w:rsidP="0054404A">
      <w:pPr>
        <w:spacing w:after="0" w:line="240" w:lineRule="auto"/>
        <w:contextualSpacing/>
        <w:rPr>
          <w:rFonts w:cstheme="minorHAnsi"/>
          <w:sz w:val="21"/>
          <w:szCs w:val="21"/>
        </w:rPr>
      </w:pPr>
      <w:r w:rsidRPr="00722280">
        <w:rPr>
          <w:rFonts w:cstheme="minorHAnsi"/>
          <w:sz w:val="21"/>
          <w:szCs w:val="21"/>
        </w:rPr>
        <w:t>Bills that were accepted on Legislative Review appeal are:</w:t>
      </w:r>
    </w:p>
    <w:p w14:paraId="2B11D1DD" w14:textId="3A3A9A8B" w:rsidR="00722280" w:rsidRPr="00722280" w:rsidRDefault="00722280" w:rsidP="00ED7931">
      <w:pPr>
        <w:pStyle w:val="ListParagraph"/>
        <w:numPr>
          <w:ilvl w:val="0"/>
          <w:numId w:val="1"/>
        </w:numPr>
        <w:spacing w:after="0" w:line="240" w:lineRule="auto"/>
        <w:ind w:left="360"/>
        <w:rPr>
          <w:rFonts w:cstheme="minorHAnsi"/>
          <w:sz w:val="21"/>
          <w:szCs w:val="21"/>
        </w:rPr>
      </w:pPr>
      <w:r w:rsidRPr="00722280">
        <w:rPr>
          <w:rFonts w:cstheme="minorHAnsi"/>
          <w:sz w:val="21"/>
          <w:szCs w:val="21"/>
        </w:rPr>
        <w:t>LR 2744 An Act To Save Lives and Create the Homeless Opioid User Service Engagement Pilot Project, sponsored by Rep</w:t>
      </w:r>
      <w:r>
        <w:rPr>
          <w:rFonts w:cstheme="minorHAnsi"/>
          <w:sz w:val="21"/>
          <w:szCs w:val="21"/>
        </w:rPr>
        <w:t>.</w:t>
      </w:r>
      <w:r w:rsidRPr="00722280">
        <w:rPr>
          <w:rFonts w:cstheme="minorHAnsi"/>
          <w:sz w:val="21"/>
          <w:szCs w:val="21"/>
        </w:rPr>
        <w:t xml:space="preserve"> Gattine.</w:t>
      </w:r>
    </w:p>
    <w:p w14:paraId="65ACE652" w14:textId="0BCFDA71" w:rsidR="00722280" w:rsidRPr="00722280" w:rsidRDefault="00722280" w:rsidP="00ED7931">
      <w:pPr>
        <w:pStyle w:val="ListParagraph"/>
        <w:numPr>
          <w:ilvl w:val="0"/>
          <w:numId w:val="1"/>
        </w:numPr>
        <w:spacing w:after="0" w:line="240" w:lineRule="auto"/>
        <w:ind w:left="360"/>
        <w:rPr>
          <w:rFonts w:cstheme="minorHAnsi"/>
          <w:sz w:val="21"/>
          <w:szCs w:val="21"/>
        </w:rPr>
      </w:pPr>
      <w:r w:rsidRPr="00722280">
        <w:rPr>
          <w:rFonts w:cstheme="minorHAnsi"/>
          <w:sz w:val="21"/>
          <w:szCs w:val="21"/>
        </w:rPr>
        <w:t>LR 2748 An Act To Improve Housing Support in the Bridging Rental Assistance Program, sponsored by Rep</w:t>
      </w:r>
      <w:r>
        <w:rPr>
          <w:rFonts w:cstheme="minorHAnsi"/>
          <w:sz w:val="21"/>
          <w:szCs w:val="21"/>
        </w:rPr>
        <w:t>.</w:t>
      </w:r>
      <w:r w:rsidRPr="00722280">
        <w:rPr>
          <w:rFonts w:cstheme="minorHAnsi"/>
          <w:sz w:val="21"/>
          <w:szCs w:val="21"/>
        </w:rPr>
        <w:t xml:space="preserve"> Gattine</w:t>
      </w:r>
    </w:p>
    <w:p w14:paraId="0A5F506C" w14:textId="716D02C5" w:rsidR="00722280" w:rsidRPr="00722280" w:rsidRDefault="00722280" w:rsidP="00ED7931">
      <w:pPr>
        <w:pStyle w:val="ListParagraph"/>
        <w:numPr>
          <w:ilvl w:val="0"/>
          <w:numId w:val="1"/>
        </w:numPr>
        <w:spacing w:after="0" w:line="240" w:lineRule="auto"/>
        <w:ind w:left="360"/>
        <w:rPr>
          <w:rFonts w:cstheme="minorHAnsi"/>
          <w:sz w:val="21"/>
          <w:szCs w:val="21"/>
        </w:rPr>
      </w:pPr>
      <w:r w:rsidRPr="00722280">
        <w:rPr>
          <w:rFonts w:cstheme="minorHAnsi"/>
          <w:sz w:val="21"/>
          <w:szCs w:val="21"/>
        </w:rPr>
        <w:t>LR 2778 An Act To Stabilize Vulnerable Families, sponsored by Senator Volk</w:t>
      </w:r>
      <w:bookmarkStart w:id="0" w:name="_GoBack"/>
      <w:bookmarkEnd w:id="0"/>
    </w:p>
    <w:p w14:paraId="02A3B39F" w14:textId="77777777" w:rsidR="00721960" w:rsidRPr="00341988" w:rsidRDefault="00721960" w:rsidP="0054404A">
      <w:pPr>
        <w:spacing w:after="0" w:line="240" w:lineRule="auto"/>
        <w:contextualSpacing/>
        <w:rPr>
          <w:b/>
          <w:sz w:val="12"/>
          <w:szCs w:val="12"/>
        </w:rPr>
      </w:pPr>
    </w:p>
    <w:p w14:paraId="0D8ABB97" w14:textId="5A8C3EF2" w:rsidR="00721461" w:rsidRDefault="00721461" w:rsidP="0054404A">
      <w:pPr>
        <w:spacing w:after="0" w:line="240" w:lineRule="auto"/>
        <w:contextualSpacing/>
        <w:rPr>
          <w:sz w:val="21"/>
          <w:szCs w:val="21"/>
        </w:rPr>
      </w:pPr>
      <w:r>
        <w:rPr>
          <w:sz w:val="21"/>
          <w:szCs w:val="21"/>
        </w:rPr>
        <w:t>Bills that were carried over from the first session:</w:t>
      </w:r>
    </w:p>
    <w:p w14:paraId="5157C133" w14:textId="75035743" w:rsidR="00721461" w:rsidRDefault="00721461" w:rsidP="00721461">
      <w:pPr>
        <w:pStyle w:val="ListParagraph"/>
        <w:numPr>
          <w:ilvl w:val="0"/>
          <w:numId w:val="1"/>
        </w:numPr>
        <w:spacing w:after="0" w:line="240" w:lineRule="auto"/>
        <w:ind w:left="360"/>
        <w:rPr>
          <w:sz w:val="21"/>
          <w:szCs w:val="21"/>
        </w:rPr>
      </w:pPr>
      <w:r w:rsidRPr="00721461">
        <w:rPr>
          <w:sz w:val="21"/>
          <w:szCs w:val="21"/>
        </w:rPr>
        <w:t xml:space="preserve">LD 735 "An Act To Authorize a General Fund Bond Issue To Support the Independence of Maine's Seniors,” Sponsored by Senator Amy Volk.  </w:t>
      </w:r>
      <w:r w:rsidRPr="00721461">
        <w:rPr>
          <w:b/>
          <w:sz w:val="21"/>
          <w:szCs w:val="21"/>
          <w:u w:val="single"/>
        </w:rPr>
        <w:t>A public hearing in front of the Joint Standing Committee on Appropriations and Financial Affairs has been scheduled for 1/10 at 1:00 pm, State House, Room 228</w:t>
      </w:r>
    </w:p>
    <w:p w14:paraId="1C379F8D" w14:textId="77777777" w:rsidR="00721461" w:rsidRPr="00721461" w:rsidRDefault="00721461" w:rsidP="00721461">
      <w:pPr>
        <w:pStyle w:val="ListParagraph"/>
        <w:spacing w:after="0" w:line="240" w:lineRule="auto"/>
        <w:ind w:left="360"/>
        <w:rPr>
          <w:sz w:val="12"/>
          <w:szCs w:val="12"/>
        </w:rPr>
      </w:pPr>
    </w:p>
    <w:p w14:paraId="7D315494" w14:textId="5E58BE55" w:rsidR="009A29B9" w:rsidRPr="00341988" w:rsidRDefault="009A29B9" w:rsidP="0054404A">
      <w:pPr>
        <w:spacing w:after="0" w:line="240" w:lineRule="auto"/>
        <w:contextualSpacing/>
        <w:rPr>
          <w:b/>
          <w:sz w:val="21"/>
          <w:szCs w:val="21"/>
        </w:rPr>
      </w:pPr>
      <w:r w:rsidRPr="00341988">
        <w:rPr>
          <w:b/>
          <w:sz w:val="21"/>
          <w:szCs w:val="21"/>
        </w:rPr>
        <w:t>Other items of interest:</w:t>
      </w:r>
    </w:p>
    <w:p w14:paraId="3E8598F9" w14:textId="35764F54" w:rsidR="0049585B" w:rsidRPr="00B26F35" w:rsidRDefault="009A29B9" w:rsidP="00230DEB">
      <w:pPr>
        <w:spacing w:after="0" w:line="240" w:lineRule="auto"/>
        <w:rPr>
          <w:rFonts w:ascii="Calibri" w:hAnsi="Calibri" w:cs="Calibri"/>
          <w:sz w:val="21"/>
          <w:szCs w:val="21"/>
        </w:rPr>
      </w:pPr>
      <w:r w:rsidRPr="00341988">
        <w:rPr>
          <w:rFonts w:cstheme="minorHAnsi"/>
          <w:b/>
          <w:sz w:val="21"/>
          <w:szCs w:val="21"/>
        </w:rPr>
        <w:t>DHHS 1115 Waiver Application</w:t>
      </w:r>
      <w:r w:rsidR="00BF7F70" w:rsidRPr="00341988">
        <w:rPr>
          <w:rFonts w:cstheme="minorHAnsi"/>
          <w:b/>
          <w:sz w:val="21"/>
          <w:szCs w:val="21"/>
        </w:rPr>
        <w:t xml:space="preserve"> –</w:t>
      </w:r>
      <w:r w:rsidR="00C02D6A">
        <w:rPr>
          <w:rFonts w:cstheme="minorHAnsi"/>
          <w:b/>
          <w:i/>
          <w:sz w:val="21"/>
          <w:szCs w:val="21"/>
          <w:u w:val="single"/>
        </w:rPr>
        <w:t xml:space="preserve"> </w:t>
      </w:r>
      <w:r w:rsidR="002760D4">
        <w:rPr>
          <w:rFonts w:ascii="Calibri" w:hAnsi="Calibri" w:cs="Calibri"/>
          <w:sz w:val="21"/>
          <w:szCs w:val="21"/>
        </w:rPr>
        <w:t>DHHS</w:t>
      </w:r>
      <w:r w:rsidR="0049585B" w:rsidRPr="00341988">
        <w:rPr>
          <w:rFonts w:ascii="Calibri" w:hAnsi="Calibri" w:cs="Calibri"/>
          <w:sz w:val="21"/>
          <w:szCs w:val="21"/>
        </w:rPr>
        <w:t xml:space="preserve"> submitted its 1115 waiver application to CMS</w:t>
      </w:r>
      <w:r w:rsidR="00557B05">
        <w:rPr>
          <w:rFonts w:ascii="Calibri" w:hAnsi="Calibri" w:cs="Calibri"/>
          <w:sz w:val="21"/>
          <w:szCs w:val="21"/>
        </w:rPr>
        <w:t xml:space="preserve"> (Centers for Medicare and Medicaid Services)</w:t>
      </w:r>
      <w:r w:rsidR="0049585B" w:rsidRPr="00341988">
        <w:rPr>
          <w:rFonts w:ascii="Calibri" w:hAnsi="Calibri" w:cs="Calibri"/>
          <w:sz w:val="21"/>
          <w:szCs w:val="21"/>
        </w:rPr>
        <w:t xml:space="preserve">.  </w:t>
      </w:r>
      <w:r w:rsidR="00ED7931">
        <w:rPr>
          <w:rFonts w:ascii="Calibri" w:hAnsi="Calibri" w:cs="Calibri"/>
          <w:sz w:val="21"/>
          <w:szCs w:val="21"/>
        </w:rPr>
        <w:t>To view</w:t>
      </w:r>
      <w:r w:rsidR="004F00BF">
        <w:rPr>
          <w:rFonts w:ascii="Calibri" w:hAnsi="Calibri" w:cs="Calibri"/>
          <w:sz w:val="21"/>
          <w:szCs w:val="21"/>
        </w:rPr>
        <w:t xml:space="preserve"> related materials submitted by DHHS visit:</w:t>
      </w:r>
      <w:r w:rsidR="0049585B" w:rsidRPr="00341988">
        <w:rPr>
          <w:rFonts w:ascii="Calibri" w:hAnsi="Calibri" w:cs="Calibri"/>
          <w:sz w:val="21"/>
          <w:szCs w:val="21"/>
        </w:rPr>
        <w:t xml:space="preserve"> </w:t>
      </w:r>
      <w:hyperlink r:id="rId8" w:history="1">
        <w:r w:rsidR="0049585B" w:rsidRPr="00341988">
          <w:rPr>
            <w:rStyle w:val="Hyperlink"/>
            <w:sz w:val="21"/>
            <w:szCs w:val="21"/>
          </w:rPr>
          <w:t>http://www.maine.gov/dhhs/oms/rules/demonstration-waivers.shtml</w:t>
        </w:r>
      </w:hyperlink>
      <w:r w:rsidR="0049585B" w:rsidRPr="00341988">
        <w:rPr>
          <w:sz w:val="21"/>
          <w:szCs w:val="21"/>
        </w:rPr>
        <w:t xml:space="preserve"> to view the submitted application, which includes a summary of comments and how the State considered those comments in the development of the </w:t>
      </w:r>
      <w:r w:rsidR="00AB1C04" w:rsidRPr="00341988">
        <w:rPr>
          <w:sz w:val="21"/>
          <w:szCs w:val="21"/>
        </w:rPr>
        <w:t xml:space="preserve">final </w:t>
      </w:r>
      <w:r w:rsidR="0049585B" w:rsidRPr="00341988">
        <w:rPr>
          <w:sz w:val="21"/>
          <w:szCs w:val="21"/>
        </w:rPr>
        <w:t xml:space="preserve">application.  </w:t>
      </w:r>
    </w:p>
    <w:p w14:paraId="2E52CECE" w14:textId="64211177" w:rsidR="0049585B" w:rsidRPr="00341988" w:rsidRDefault="0049585B" w:rsidP="00230DEB">
      <w:pPr>
        <w:spacing w:after="0" w:line="240" w:lineRule="auto"/>
        <w:rPr>
          <w:sz w:val="12"/>
          <w:szCs w:val="12"/>
        </w:rPr>
      </w:pPr>
    </w:p>
    <w:p w14:paraId="4BA17323" w14:textId="294DF87F" w:rsidR="0066382E" w:rsidRDefault="0049585B" w:rsidP="00F4601C">
      <w:pPr>
        <w:spacing w:after="0" w:line="240" w:lineRule="auto"/>
        <w:rPr>
          <w:rFonts w:ascii="Calibri" w:hAnsi="Calibri" w:cs="Calibri"/>
          <w:sz w:val="21"/>
          <w:szCs w:val="21"/>
        </w:rPr>
      </w:pPr>
      <w:r w:rsidRPr="00341988">
        <w:rPr>
          <w:rFonts w:cstheme="minorHAnsi"/>
          <w:sz w:val="21"/>
          <w:szCs w:val="21"/>
        </w:rPr>
        <w:t xml:space="preserve">Among the reforms the original waiver application requested are </w:t>
      </w:r>
      <w:r w:rsidRPr="00341988">
        <w:rPr>
          <w:rFonts w:ascii="Calibri" w:hAnsi="Calibri" w:cs="Calibri"/>
          <w:sz w:val="21"/>
          <w:szCs w:val="21"/>
        </w:rPr>
        <w:t>changes for “able-bodied” adults:  Work requirements, monthly premiums, eliminating presumptive eligibility for hospitals, co-pays, charges for missed appointments, “non-emergency” ER visits (where the person is not admitted) results in a copay, asset tests and limitations, eliminating retroactive eligibility.</w:t>
      </w:r>
      <w:r w:rsidR="00230DEB" w:rsidRPr="00F4601C">
        <w:rPr>
          <w:rFonts w:ascii="Calibri" w:hAnsi="Calibri" w:cs="Calibri"/>
          <w:sz w:val="21"/>
          <w:szCs w:val="21"/>
        </w:rPr>
        <w:t xml:space="preserve"> </w:t>
      </w:r>
    </w:p>
    <w:p w14:paraId="3D0B3D3F" w14:textId="77777777" w:rsidR="0066382E" w:rsidRPr="00F4601C" w:rsidRDefault="0066382E" w:rsidP="00F4601C">
      <w:pPr>
        <w:spacing w:after="0" w:line="240" w:lineRule="auto"/>
        <w:rPr>
          <w:rFonts w:ascii="Calibri" w:hAnsi="Calibri" w:cs="Calibri"/>
          <w:sz w:val="21"/>
          <w:szCs w:val="21"/>
        </w:rPr>
      </w:pPr>
    </w:p>
    <w:sectPr w:rsidR="0066382E" w:rsidRPr="00F4601C" w:rsidSect="009A29B9">
      <w:type w:val="continuous"/>
      <w:pgSz w:w="12240" w:h="15840"/>
      <w:pgMar w:top="547" w:right="864" w:bottom="547"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14970"/>
    <w:multiLevelType w:val="hybridMultilevel"/>
    <w:tmpl w:val="36863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4D7AEA"/>
    <w:multiLevelType w:val="hybridMultilevel"/>
    <w:tmpl w:val="491C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66"/>
    <w:rsid w:val="0002319C"/>
    <w:rsid w:val="000239E5"/>
    <w:rsid w:val="00030CF5"/>
    <w:rsid w:val="000364C3"/>
    <w:rsid w:val="0004766B"/>
    <w:rsid w:val="00063CA9"/>
    <w:rsid w:val="00064727"/>
    <w:rsid w:val="00065CD2"/>
    <w:rsid w:val="00074179"/>
    <w:rsid w:val="00090ACE"/>
    <w:rsid w:val="0009244D"/>
    <w:rsid w:val="00095BDB"/>
    <w:rsid w:val="00096B4C"/>
    <w:rsid w:val="000973E3"/>
    <w:rsid w:val="000A7315"/>
    <w:rsid w:val="000B3043"/>
    <w:rsid w:val="000C18A9"/>
    <w:rsid w:val="000C7679"/>
    <w:rsid w:val="000E022A"/>
    <w:rsid w:val="000E2DDC"/>
    <w:rsid w:val="000F37C2"/>
    <w:rsid w:val="0010738A"/>
    <w:rsid w:val="00110774"/>
    <w:rsid w:val="00113840"/>
    <w:rsid w:val="00113957"/>
    <w:rsid w:val="00116143"/>
    <w:rsid w:val="00120CD9"/>
    <w:rsid w:val="00121D03"/>
    <w:rsid w:val="00124173"/>
    <w:rsid w:val="00130B06"/>
    <w:rsid w:val="00140153"/>
    <w:rsid w:val="00147577"/>
    <w:rsid w:val="0015605F"/>
    <w:rsid w:val="00163479"/>
    <w:rsid w:val="00164F6E"/>
    <w:rsid w:val="00183CE6"/>
    <w:rsid w:val="00185BE1"/>
    <w:rsid w:val="0018652C"/>
    <w:rsid w:val="00190589"/>
    <w:rsid w:val="00190A4E"/>
    <w:rsid w:val="0019587D"/>
    <w:rsid w:val="001B13C6"/>
    <w:rsid w:val="001B222B"/>
    <w:rsid w:val="001C0DFA"/>
    <w:rsid w:val="001D5470"/>
    <w:rsid w:val="001D547C"/>
    <w:rsid w:val="001E7103"/>
    <w:rsid w:val="001E7362"/>
    <w:rsid w:val="001F65EF"/>
    <w:rsid w:val="00200455"/>
    <w:rsid w:val="002022ED"/>
    <w:rsid w:val="0020415A"/>
    <w:rsid w:val="00206683"/>
    <w:rsid w:val="002120F7"/>
    <w:rsid w:val="00216543"/>
    <w:rsid w:val="0021758F"/>
    <w:rsid w:val="002277D9"/>
    <w:rsid w:val="00230DEB"/>
    <w:rsid w:val="00232212"/>
    <w:rsid w:val="002431D9"/>
    <w:rsid w:val="0025492E"/>
    <w:rsid w:val="00254B72"/>
    <w:rsid w:val="00266630"/>
    <w:rsid w:val="0027174F"/>
    <w:rsid w:val="002760D4"/>
    <w:rsid w:val="00276DE9"/>
    <w:rsid w:val="00277CC7"/>
    <w:rsid w:val="002817E7"/>
    <w:rsid w:val="0028453D"/>
    <w:rsid w:val="002A2047"/>
    <w:rsid w:val="002B252E"/>
    <w:rsid w:val="002C2CA2"/>
    <w:rsid w:val="002C4F95"/>
    <w:rsid w:val="002D31C3"/>
    <w:rsid w:val="002D6E2C"/>
    <w:rsid w:val="002E768B"/>
    <w:rsid w:val="00300891"/>
    <w:rsid w:val="00305DCA"/>
    <w:rsid w:val="003207E4"/>
    <w:rsid w:val="0032774A"/>
    <w:rsid w:val="00334B6F"/>
    <w:rsid w:val="00336782"/>
    <w:rsid w:val="00340940"/>
    <w:rsid w:val="00341988"/>
    <w:rsid w:val="003469F0"/>
    <w:rsid w:val="00346D90"/>
    <w:rsid w:val="003518B4"/>
    <w:rsid w:val="00361EDF"/>
    <w:rsid w:val="00371C73"/>
    <w:rsid w:val="003721CA"/>
    <w:rsid w:val="00372EE9"/>
    <w:rsid w:val="00381B49"/>
    <w:rsid w:val="003831BD"/>
    <w:rsid w:val="0039081C"/>
    <w:rsid w:val="00394035"/>
    <w:rsid w:val="003B1E47"/>
    <w:rsid w:val="003B1FC3"/>
    <w:rsid w:val="003B4CD7"/>
    <w:rsid w:val="003C3145"/>
    <w:rsid w:val="003D08E8"/>
    <w:rsid w:val="003D177E"/>
    <w:rsid w:val="003E236E"/>
    <w:rsid w:val="003E5A86"/>
    <w:rsid w:val="003F30E7"/>
    <w:rsid w:val="003F33FB"/>
    <w:rsid w:val="0040098C"/>
    <w:rsid w:val="004010F5"/>
    <w:rsid w:val="00403F49"/>
    <w:rsid w:val="004045CF"/>
    <w:rsid w:val="0041141C"/>
    <w:rsid w:val="004121A3"/>
    <w:rsid w:val="00417E10"/>
    <w:rsid w:val="00422527"/>
    <w:rsid w:val="00425B97"/>
    <w:rsid w:val="0043493B"/>
    <w:rsid w:val="00436700"/>
    <w:rsid w:val="00444D3B"/>
    <w:rsid w:val="0045428D"/>
    <w:rsid w:val="004621B1"/>
    <w:rsid w:val="00462909"/>
    <w:rsid w:val="00472711"/>
    <w:rsid w:val="004738F8"/>
    <w:rsid w:val="00475AB4"/>
    <w:rsid w:val="00480366"/>
    <w:rsid w:val="00482F90"/>
    <w:rsid w:val="00485E64"/>
    <w:rsid w:val="0049238C"/>
    <w:rsid w:val="004926DC"/>
    <w:rsid w:val="0049585B"/>
    <w:rsid w:val="004A3EDB"/>
    <w:rsid w:val="004A4304"/>
    <w:rsid w:val="004A5A0D"/>
    <w:rsid w:val="004D23CF"/>
    <w:rsid w:val="004D7D49"/>
    <w:rsid w:val="004E74C5"/>
    <w:rsid w:val="004F00BF"/>
    <w:rsid w:val="004F0F78"/>
    <w:rsid w:val="004F702F"/>
    <w:rsid w:val="00513DB8"/>
    <w:rsid w:val="00514B7C"/>
    <w:rsid w:val="00517A30"/>
    <w:rsid w:val="00520BAF"/>
    <w:rsid w:val="005263E9"/>
    <w:rsid w:val="00530C75"/>
    <w:rsid w:val="00532AE2"/>
    <w:rsid w:val="005363C8"/>
    <w:rsid w:val="0053646B"/>
    <w:rsid w:val="00537434"/>
    <w:rsid w:val="0054404A"/>
    <w:rsid w:val="005452F6"/>
    <w:rsid w:val="00555AD6"/>
    <w:rsid w:val="00557B05"/>
    <w:rsid w:val="005661AF"/>
    <w:rsid w:val="005666D1"/>
    <w:rsid w:val="005719AA"/>
    <w:rsid w:val="005723CC"/>
    <w:rsid w:val="005769B6"/>
    <w:rsid w:val="00576F86"/>
    <w:rsid w:val="00583C7B"/>
    <w:rsid w:val="0059333F"/>
    <w:rsid w:val="00594B72"/>
    <w:rsid w:val="00594E45"/>
    <w:rsid w:val="00596C76"/>
    <w:rsid w:val="005B3EE4"/>
    <w:rsid w:val="005C03FA"/>
    <w:rsid w:val="005C31DD"/>
    <w:rsid w:val="005C45FE"/>
    <w:rsid w:val="005D0BE0"/>
    <w:rsid w:val="005D5A3C"/>
    <w:rsid w:val="005D5A79"/>
    <w:rsid w:val="005F1241"/>
    <w:rsid w:val="005F1D8B"/>
    <w:rsid w:val="00600720"/>
    <w:rsid w:val="00600C61"/>
    <w:rsid w:val="006017A5"/>
    <w:rsid w:val="0060376C"/>
    <w:rsid w:val="00605C81"/>
    <w:rsid w:val="00613058"/>
    <w:rsid w:val="0061619B"/>
    <w:rsid w:val="006224AA"/>
    <w:rsid w:val="006315E1"/>
    <w:rsid w:val="00633E74"/>
    <w:rsid w:val="00636246"/>
    <w:rsid w:val="00641199"/>
    <w:rsid w:val="0065179D"/>
    <w:rsid w:val="00651946"/>
    <w:rsid w:val="00653A3A"/>
    <w:rsid w:val="00655D49"/>
    <w:rsid w:val="0066382E"/>
    <w:rsid w:val="006746C8"/>
    <w:rsid w:val="00674FE2"/>
    <w:rsid w:val="006773D2"/>
    <w:rsid w:val="00684614"/>
    <w:rsid w:val="006848F5"/>
    <w:rsid w:val="00687050"/>
    <w:rsid w:val="00695C78"/>
    <w:rsid w:val="006A4801"/>
    <w:rsid w:val="006B23B8"/>
    <w:rsid w:val="006B5D94"/>
    <w:rsid w:val="006B7C7C"/>
    <w:rsid w:val="006C2BEA"/>
    <w:rsid w:val="006C6458"/>
    <w:rsid w:val="006C7E44"/>
    <w:rsid w:val="006D1A0F"/>
    <w:rsid w:val="006D6006"/>
    <w:rsid w:val="006E2913"/>
    <w:rsid w:val="006E5142"/>
    <w:rsid w:val="006E713D"/>
    <w:rsid w:val="006F0AB5"/>
    <w:rsid w:val="006F128F"/>
    <w:rsid w:val="006F7345"/>
    <w:rsid w:val="00716C28"/>
    <w:rsid w:val="007205ED"/>
    <w:rsid w:val="00721461"/>
    <w:rsid w:val="00721960"/>
    <w:rsid w:val="00722280"/>
    <w:rsid w:val="00722AE1"/>
    <w:rsid w:val="00722C0E"/>
    <w:rsid w:val="00727D82"/>
    <w:rsid w:val="00733598"/>
    <w:rsid w:val="00736B0E"/>
    <w:rsid w:val="007431D1"/>
    <w:rsid w:val="00757BD2"/>
    <w:rsid w:val="00761ACF"/>
    <w:rsid w:val="00762B4F"/>
    <w:rsid w:val="007708D0"/>
    <w:rsid w:val="00775479"/>
    <w:rsid w:val="0077786A"/>
    <w:rsid w:val="00777BAA"/>
    <w:rsid w:val="00783CFD"/>
    <w:rsid w:val="00791B8A"/>
    <w:rsid w:val="00793F53"/>
    <w:rsid w:val="00795330"/>
    <w:rsid w:val="007977A4"/>
    <w:rsid w:val="007A59B1"/>
    <w:rsid w:val="007B7A05"/>
    <w:rsid w:val="007C1F31"/>
    <w:rsid w:val="007D190F"/>
    <w:rsid w:val="007D48BE"/>
    <w:rsid w:val="007E3AF4"/>
    <w:rsid w:val="007F2E77"/>
    <w:rsid w:val="007F32E6"/>
    <w:rsid w:val="007F5A4E"/>
    <w:rsid w:val="00802A81"/>
    <w:rsid w:val="00805BEE"/>
    <w:rsid w:val="00805D02"/>
    <w:rsid w:val="00805F9E"/>
    <w:rsid w:val="00826026"/>
    <w:rsid w:val="008270D9"/>
    <w:rsid w:val="008404F9"/>
    <w:rsid w:val="0085696C"/>
    <w:rsid w:val="00860558"/>
    <w:rsid w:val="00863341"/>
    <w:rsid w:val="00865BFA"/>
    <w:rsid w:val="008706B8"/>
    <w:rsid w:val="00873CB3"/>
    <w:rsid w:val="00875B8F"/>
    <w:rsid w:val="0087794C"/>
    <w:rsid w:val="00881A97"/>
    <w:rsid w:val="00890772"/>
    <w:rsid w:val="008915DE"/>
    <w:rsid w:val="00891D15"/>
    <w:rsid w:val="008A3A4E"/>
    <w:rsid w:val="008B139A"/>
    <w:rsid w:val="008B51B7"/>
    <w:rsid w:val="008B6A6F"/>
    <w:rsid w:val="008B7430"/>
    <w:rsid w:val="008C2E47"/>
    <w:rsid w:val="008C5C3E"/>
    <w:rsid w:val="008D03FF"/>
    <w:rsid w:val="008D3A76"/>
    <w:rsid w:val="008D5108"/>
    <w:rsid w:val="008D6780"/>
    <w:rsid w:val="008E4A83"/>
    <w:rsid w:val="008F544B"/>
    <w:rsid w:val="009046BF"/>
    <w:rsid w:val="00916CC3"/>
    <w:rsid w:val="009179DD"/>
    <w:rsid w:val="009216B1"/>
    <w:rsid w:val="0092454A"/>
    <w:rsid w:val="00942489"/>
    <w:rsid w:val="00956294"/>
    <w:rsid w:val="00966518"/>
    <w:rsid w:val="009673FF"/>
    <w:rsid w:val="0097186E"/>
    <w:rsid w:val="009773B5"/>
    <w:rsid w:val="00986C9D"/>
    <w:rsid w:val="009972F0"/>
    <w:rsid w:val="009A1440"/>
    <w:rsid w:val="009A29B9"/>
    <w:rsid w:val="009C4073"/>
    <w:rsid w:val="009D4989"/>
    <w:rsid w:val="009E3C9D"/>
    <w:rsid w:val="009E6A89"/>
    <w:rsid w:val="009F5755"/>
    <w:rsid w:val="009F7C57"/>
    <w:rsid w:val="00A12C9B"/>
    <w:rsid w:val="00A1740F"/>
    <w:rsid w:val="00A21796"/>
    <w:rsid w:val="00A30F28"/>
    <w:rsid w:val="00A313C5"/>
    <w:rsid w:val="00A32DB1"/>
    <w:rsid w:val="00A379DE"/>
    <w:rsid w:val="00A4294E"/>
    <w:rsid w:val="00A437FC"/>
    <w:rsid w:val="00A44A39"/>
    <w:rsid w:val="00A606B4"/>
    <w:rsid w:val="00A62CE2"/>
    <w:rsid w:val="00A73A3B"/>
    <w:rsid w:val="00A7402E"/>
    <w:rsid w:val="00A74EC4"/>
    <w:rsid w:val="00A8289C"/>
    <w:rsid w:val="00A902FF"/>
    <w:rsid w:val="00AA2D68"/>
    <w:rsid w:val="00AB1C04"/>
    <w:rsid w:val="00AB73AF"/>
    <w:rsid w:val="00AC1C66"/>
    <w:rsid w:val="00AC5698"/>
    <w:rsid w:val="00AD3DC6"/>
    <w:rsid w:val="00AE61C9"/>
    <w:rsid w:val="00AF1511"/>
    <w:rsid w:val="00AF35F2"/>
    <w:rsid w:val="00AF39F4"/>
    <w:rsid w:val="00AF3D4F"/>
    <w:rsid w:val="00AF6CEC"/>
    <w:rsid w:val="00B05B6F"/>
    <w:rsid w:val="00B078B2"/>
    <w:rsid w:val="00B1674D"/>
    <w:rsid w:val="00B16C1D"/>
    <w:rsid w:val="00B26F35"/>
    <w:rsid w:val="00B31F1B"/>
    <w:rsid w:val="00B64B8B"/>
    <w:rsid w:val="00B74C45"/>
    <w:rsid w:val="00B83F0F"/>
    <w:rsid w:val="00B96F88"/>
    <w:rsid w:val="00BA041E"/>
    <w:rsid w:val="00BA0709"/>
    <w:rsid w:val="00BB31E9"/>
    <w:rsid w:val="00BB3420"/>
    <w:rsid w:val="00BB5380"/>
    <w:rsid w:val="00BB7FEF"/>
    <w:rsid w:val="00BC085C"/>
    <w:rsid w:val="00BC200D"/>
    <w:rsid w:val="00BC2742"/>
    <w:rsid w:val="00BC2CED"/>
    <w:rsid w:val="00BC502B"/>
    <w:rsid w:val="00BC7F41"/>
    <w:rsid w:val="00BD12B6"/>
    <w:rsid w:val="00BD253F"/>
    <w:rsid w:val="00BD3C3A"/>
    <w:rsid w:val="00BD44A7"/>
    <w:rsid w:val="00BE54A5"/>
    <w:rsid w:val="00BF2BE0"/>
    <w:rsid w:val="00BF7F70"/>
    <w:rsid w:val="00C02D6A"/>
    <w:rsid w:val="00C04ADD"/>
    <w:rsid w:val="00C067D7"/>
    <w:rsid w:val="00C1247A"/>
    <w:rsid w:val="00C152D0"/>
    <w:rsid w:val="00C3415A"/>
    <w:rsid w:val="00C35BF9"/>
    <w:rsid w:val="00C378C7"/>
    <w:rsid w:val="00C40045"/>
    <w:rsid w:val="00C42FF4"/>
    <w:rsid w:val="00C44EEA"/>
    <w:rsid w:val="00C51094"/>
    <w:rsid w:val="00C53B7D"/>
    <w:rsid w:val="00C720EE"/>
    <w:rsid w:val="00C811EA"/>
    <w:rsid w:val="00C83168"/>
    <w:rsid w:val="00C90EEB"/>
    <w:rsid w:val="00CB0E72"/>
    <w:rsid w:val="00CB5062"/>
    <w:rsid w:val="00CB7EBB"/>
    <w:rsid w:val="00CC7EFE"/>
    <w:rsid w:val="00CD6E13"/>
    <w:rsid w:val="00CE6AD1"/>
    <w:rsid w:val="00CF1D16"/>
    <w:rsid w:val="00CF2EC2"/>
    <w:rsid w:val="00CF36EE"/>
    <w:rsid w:val="00CF6E5C"/>
    <w:rsid w:val="00D06756"/>
    <w:rsid w:val="00D12F79"/>
    <w:rsid w:val="00D25B9F"/>
    <w:rsid w:val="00D355FB"/>
    <w:rsid w:val="00D368FE"/>
    <w:rsid w:val="00D45543"/>
    <w:rsid w:val="00D518C0"/>
    <w:rsid w:val="00D63E0E"/>
    <w:rsid w:val="00D6515D"/>
    <w:rsid w:val="00D65A9C"/>
    <w:rsid w:val="00D71FF4"/>
    <w:rsid w:val="00D74B5D"/>
    <w:rsid w:val="00D75C5C"/>
    <w:rsid w:val="00D75FA9"/>
    <w:rsid w:val="00D77285"/>
    <w:rsid w:val="00D8741C"/>
    <w:rsid w:val="00D878C0"/>
    <w:rsid w:val="00D93256"/>
    <w:rsid w:val="00DB3039"/>
    <w:rsid w:val="00DC0386"/>
    <w:rsid w:val="00DC655D"/>
    <w:rsid w:val="00DD0190"/>
    <w:rsid w:val="00DD3DAF"/>
    <w:rsid w:val="00DE6B53"/>
    <w:rsid w:val="00DF7C11"/>
    <w:rsid w:val="00E00C5F"/>
    <w:rsid w:val="00E02AF8"/>
    <w:rsid w:val="00E032B7"/>
    <w:rsid w:val="00E22C33"/>
    <w:rsid w:val="00E31791"/>
    <w:rsid w:val="00E34DA8"/>
    <w:rsid w:val="00E42010"/>
    <w:rsid w:val="00E42559"/>
    <w:rsid w:val="00E452B4"/>
    <w:rsid w:val="00E51C20"/>
    <w:rsid w:val="00E60D5A"/>
    <w:rsid w:val="00E63451"/>
    <w:rsid w:val="00E63A58"/>
    <w:rsid w:val="00E66A44"/>
    <w:rsid w:val="00E81F87"/>
    <w:rsid w:val="00E8646C"/>
    <w:rsid w:val="00E9055C"/>
    <w:rsid w:val="00E9722D"/>
    <w:rsid w:val="00EA35FC"/>
    <w:rsid w:val="00EB003A"/>
    <w:rsid w:val="00EC3639"/>
    <w:rsid w:val="00ED3327"/>
    <w:rsid w:val="00ED7931"/>
    <w:rsid w:val="00EE1450"/>
    <w:rsid w:val="00EE5864"/>
    <w:rsid w:val="00EE6581"/>
    <w:rsid w:val="00EF3720"/>
    <w:rsid w:val="00EF53AC"/>
    <w:rsid w:val="00EF5DB5"/>
    <w:rsid w:val="00EF6B20"/>
    <w:rsid w:val="00EF7C23"/>
    <w:rsid w:val="00F061D1"/>
    <w:rsid w:val="00F15647"/>
    <w:rsid w:val="00F16F5D"/>
    <w:rsid w:val="00F35A23"/>
    <w:rsid w:val="00F4601C"/>
    <w:rsid w:val="00F53290"/>
    <w:rsid w:val="00F613D1"/>
    <w:rsid w:val="00F61F4D"/>
    <w:rsid w:val="00F76C7A"/>
    <w:rsid w:val="00F76DA0"/>
    <w:rsid w:val="00F7733C"/>
    <w:rsid w:val="00F77793"/>
    <w:rsid w:val="00F8331B"/>
    <w:rsid w:val="00F83466"/>
    <w:rsid w:val="00F877E5"/>
    <w:rsid w:val="00F9152F"/>
    <w:rsid w:val="00FA14F7"/>
    <w:rsid w:val="00FA18C2"/>
    <w:rsid w:val="00FA4725"/>
    <w:rsid w:val="00FB091F"/>
    <w:rsid w:val="00FD0E8F"/>
    <w:rsid w:val="00FE39CA"/>
    <w:rsid w:val="00FE4781"/>
    <w:rsid w:val="00FF13B9"/>
    <w:rsid w:val="00FF4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2AF76"/>
  <w15:chartTrackingRefBased/>
  <w15:docId w15:val="{81013395-B7FC-487F-AB60-CA952AA1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5F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C66"/>
    <w:pPr>
      <w:ind w:left="720"/>
      <w:contextualSpacing/>
    </w:pPr>
  </w:style>
  <w:style w:type="character" w:styleId="Hyperlink">
    <w:name w:val="Hyperlink"/>
    <w:basedOn w:val="DefaultParagraphFont"/>
    <w:uiPriority w:val="99"/>
    <w:unhideWhenUsed/>
    <w:rsid w:val="00EF53AC"/>
    <w:rPr>
      <w:color w:val="0000FF"/>
      <w:u w:val="single"/>
    </w:rPr>
  </w:style>
  <w:style w:type="paragraph" w:styleId="NormalWeb">
    <w:name w:val="Normal (Web)"/>
    <w:basedOn w:val="Normal"/>
    <w:uiPriority w:val="99"/>
    <w:unhideWhenUsed/>
    <w:rsid w:val="00EF53A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B1E47"/>
    <w:rPr>
      <w:b/>
      <w:bCs/>
    </w:rPr>
  </w:style>
  <w:style w:type="paragraph" w:styleId="BalloonText">
    <w:name w:val="Balloon Text"/>
    <w:basedOn w:val="Normal"/>
    <w:link w:val="BalloonTextChar"/>
    <w:uiPriority w:val="99"/>
    <w:semiHidden/>
    <w:unhideWhenUsed/>
    <w:rsid w:val="00C81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1EA"/>
    <w:rPr>
      <w:rFonts w:ascii="Segoe UI" w:hAnsi="Segoe UI" w:cs="Segoe UI"/>
      <w:sz w:val="18"/>
      <w:szCs w:val="18"/>
    </w:rPr>
  </w:style>
  <w:style w:type="table" w:styleId="TableGrid">
    <w:name w:val="Table Grid"/>
    <w:basedOn w:val="TableNormal"/>
    <w:uiPriority w:val="59"/>
    <w:rsid w:val="007F5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unhideWhenUsed/>
    <w:rsid w:val="007431D1"/>
    <w:rPr>
      <w:i/>
      <w:iCs/>
    </w:rPr>
  </w:style>
  <w:style w:type="character" w:customStyle="1" w:styleId="maintext1">
    <w:name w:val="maintext1"/>
    <w:basedOn w:val="DefaultParagraphFont"/>
    <w:rsid w:val="007D48BE"/>
    <w:rPr>
      <w:rFonts w:ascii="Arial" w:hAnsi="Arial" w:cs="Arial" w:hint="default"/>
      <w:color w:val="000000"/>
    </w:rPr>
  </w:style>
  <w:style w:type="character" w:customStyle="1" w:styleId="Heading1Char">
    <w:name w:val="Heading 1 Char"/>
    <w:basedOn w:val="DefaultParagraphFont"/>
    <w:link w:val="Heading1"/>
    <w:uiPriority w:val="9"/>
    <w:rsid w:val="00D75FA9"/>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32774A"/>
  </w:style>
  <w:style w:type="paragraph" w:customStyle="1" w:styleId="xmsonormal">
    <w:name w:val="x_msonormal"/>
    <w:basedOn w:val="Normal"/>
    <w:uiPriority w:val="99"/>
    <w:rsid w:val="00116143"/>
    <w:pPr>
      <w:spacing w:after="0" w:line="240" w:lineRule="auto"/>
    </w:pPr>
    <w:rPr>
      <w:rFonts w:ascii="Times New Roman" w:hAnsi="Times New Roman" w:cs="Times New Roman"/>
      <w:sz w:val="24"/>
      <w:szCs w:val="24"/>
    </w:rPr>
  </w:style>
  <w:style w:type="paragraph" w:customStyle="1" w:styleId="xmsolistparagraph">
    <w:name w:val="x_msolistparagraph"/>
    <w:basedOn w:val="Normal"/>
    <w:uiPriority w:val="99"/>
    <w:rsid w:val="00116143"/>
    <w:pPr>
      <w:spacing w:after="0" w:line="240" w:lineRule="auto"/>
    </w:pPr>
    <w:rPr>
      <w:rFonts w:ascii="Times New Roman" w:hAnsi="Times New Roman" w:cs="Times New Roman"/>
      <w:sz w:val="24"/>
      <w:szCs w:val="24"/>
    </w:rPr>
  </w:style>
  <w:style w:type="character" w:styleId="Mention">
    <w:name w:val="Mention"/>
    <w:basedOn w:val="DefaultParagraphFont"/>
    <w:uiPriority w:val="99"/>
    <w:semiHidden/>
    <w:unhideWhenUsed/>
    <w:rsid w:val="004F00BF"/>
    <w:rPr>
      <w:color w:val="2B579A"/>
      <w:shd w:val="clear" w:color="auto" w:fill="E6E6E6"/>
    </w:rPr>
  </w:style>
  <w:style w:type="character" w:styleId="UnresolvedMention">
    <w:name w:val="Unresolved Mention"/>
    <w:basedOn w:val="DefaultParagraphFont"/>
    <w:uiPriority w:val="99"/>
    <w:semiHidden/>
    <w:unhideWhenUsed/>
    <w:rsid w:val="002760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5605">
      <w:bodyDiv w:val="1"/>
      <w:marLeft w:val="0"/>
      <w:marRight w:val="0"/>
      <w:marTop w:val="0"/>
      <w:marBottom w:val="0"/>
      <w:divBdr>
        <w:top w:val="none" w:sz="0" w:space="0" w:color="auto"/>
        <w:left w:val="none" w:sz="0" w:space="0" w:color="auto"/>
        <w:bottom w:val="none" w:sz="0" w:space="0" w:color="auto"/>
        <w:right w:val="none" w:sz="0" w:space="0" w:color="auto"/>
      </w:divBdr>
    </w:div>
    <w:div w:id="20132840">
      <w:bodyDiv w:val="1"/>
      <w:marLeft w:val="0"/>
      <w:marRight w:val="0"/>
      <w:marTop w:val="0"/>
      <w:marBottom w:val="0"/>
      <w:divBdr>
        <w:top w:val="none" w:sz="0" w:space="0" w:color="auto"/>
        <w:left w:val="none" w:sz="0" w:space="0" w:color="auto"/>
        <w:bottom w:val="none" w:sz="0" w:space="0" w:color="auto"/>
        <w:right w:val="none" w:sz="0" w:space="0" w:color="auto"/>
      </w:divBdr>
    </w:div>
    <w:div w:id="38015121">
      <w:bodyDiv w:val="1"/>
      <w:marLeft w:val="0"/>
      <w:marRight w:val="0"/>
      <w:marTop w:val="0"/>
      <w:marBottom w:val="0"/>
      <w:divBdr>
        <w:top w:val="none" w:sz="0" w:space="0" w:color="auto"/>
        <w:left w:val="none" w:sz="0" w:space="0" w:color="auto"/>
        <w:bottom w:val="none" w:sz="0" w:space="0" w:color="auto"/>
        <w:right w:val="none" w:sz="0" w:space="0" w:color="auto"/>
      </w:divBdr>
    </w:div>
    <w:div w:id="91322052">
      <w:bodyDiv w:val="1"/>
      <w:marLeft w:val="0"/>
      <w:marRight w:val="0"/>
      <w:marTop w:val="0"/>
      <w:marBottom w:val="0"/>
      <w:divBdr>
        <w:top w:val="none" w:sz="0" w:space="0" w:color="auto"/>
        <w:left w:val="none" w:sz="0" w:space="0" w:color="auto"/>
        <w:bottom w:val="none" w:sz="0" w:space="0" w:color="auto"/>
        <w:right w:val="none" w:sz="0" w:space="0" w:color="auto"/>
      </w:divBdr>
    </w:div>
    <w:div w:id="95906184">
      <w:bodyDiv w:val="1"/>
      <w:marLeft w:val="0"/>
      <w:marRight w:val="0"/>
      <w:marTop w:val="0"/>
      <w:marBottom w:val="0"/>
      <w:divBdr>
        <w:top w:val="none" w:sz="0" w:space="0" w:color="auto"/>
        <w:left w:val="none" w:sz="0" w:space="0" w:color="auto"/>
        <w:bottom w:val="none" w:sz="0" w:space="0" w:color="auto"/>
        <w:right w:val="none" w:sz="0" w:space="0" w:color="auto"/>
      </w:divBdr>
    </w:div>
    <w:div w:id="131141435">
      <w:bodyDiv w:val="1"/>
      <w:marLeft w:val="0"/>
      <w:marRight w:val="0"/>
      <w:marTop w:val="0"/>
      <w:marBottom w:val="0"/>
      <w:divBdr>
        <w:top w:val="none" w:sz="0" w:space="0" w:color="auto"/>
        <w:left w:val="none" w:sz="0" w:space="0" w:color="auto"/>
        <w:bottom w:val="none" w:sz="0" w:space="0" w:color="auto"/>
        <w:right w:val="none" w:sz="0" w:space="0" w:color="auto"/>
      </w:divBdr>
    </w:div>
    <w:div w:id="147871565">
      <w:bodyDiv w:val="1"/>
      <w:marLeft w:val="0"/>
      <w:marRight w:val="0"/>
      <w:marTop w:val="0"/>
      <w:marBottom w:val="0"/>
      <w:divBdr>
        <w:top w:val="none" w:sz="0" w:space="0" w:color="auto"/>
        <w:left w:val="none" w:sz="0" w:space="0" w:color="auto"/>
        <w:bottom w:val="none" w:sz="0" w:space="0" w:color="auto"/>
        <w:right w:val="none" w:sz="0" w:space="0" w:color="auto"/>
      </w:divBdr>
    </w:div>
    <w:div w:id="178784044">
      <w:bodyDiv w:val="1"/>
      <w:marLeft w:val="0"/>
      <w:marRight w:val="0"/>
      <w:marTop w:val="0"/>
      <w:marBottom w:val="0"/>
      <w:divBdr>
        <w:top w:val="none" w:sz="0" w:space="0" w:color="auto"/>
        <w:left w:val="none" w:sz="0" w:space="0" w:color="auto"/>
        <w:bottom w:val="none" w:sz="0" w:space="0" w:color="auto"/>
        <w:right w:val="none" w:sz="0" w:space="0" w:color="auto"/>
      </w:divBdr>
    </w:div>
    <w:div w:id="179127038">
      <w:bodyDiv w:val="1"/>
      <w:marLeft w:val="0"/>
      <w:marRight w:val="0"/>
      <w:marTop w:val="0"/>
      <w:marBottom w:val="0"/>
      <w:divBdr>
        <w:top w:val="none" w:sz="0" w:space="0" w:color="auto"/>
        <w:left w:val="none" w:sz="0" w:space="0" w:color="auto"/>
        <w:bottom w:val="none" w:sz="0" w:space="0" w:color="auto"/>
        <w:right w:val="none" w:sz="0" w:space="0" w:color="auto"/>
      </w:divBdr>
    </w:div>
    <w:div w:id="184177867">
      <w:bodyDiv w:val="1"/>
      <w:marLeft w:val="0"/>
      <w:marRight w:val="0"/>
      <w:marTop w:val="0"/>
      <w:marBottom w:val="0"/>
      <w:divBdr>
        <w:top w:val="none" w:sz="0" w:space="0" w:color="auto"/>
        <w:left w:val="none" w:sz="0" w:space="0" w:color="auto"/>
        <w:bottom w:val="none" w:sz="0" w:space="0" w:color="auto"/>
        <w:right w:val="none" w:sz="0" w:space="0" w:color="auto"/>
      </w:divBdr>
    </w:div>
    <w:div w:id="233393420">
      <w:bodyDiv w:val="1"/>
      <w:marLeft w:val="0"/>
      <w:marRight w:val="0"/>
      <w:marTop w:val="0"/>
      <w:marBottom w:val="0"/>
      <w:divBdr>
        <w:top w:val="none" w:sz="0" w:space="0" w:color="auto"/>
        <w:left w:val="none" w:sz="0" w:space="0" w:color="auto"/>
        <w:bottom w:val="none" w:sz="0" w:space="0" w:color="auto"/>
        <w:right w:val="none" w:sz="0" w:space="0" w:color="auto"/>
      </w:divBdr>
    </w:div>
    <w:div w:id="235550785">
      <w:bodyDiv w:val="1"/>
      <w:marLeft w:val="0"/>
      <w:marRight w:val="0"/>
      <w:marTop w:val="0"/>
      <w:marBottom w:val="0"/>
      <w:divBdr>
        <w:top w:val="none" w:sz="0" w:space="0" w:color="auto"/>
        <w:left w:val="none" w:sz="0" w:space="0" w:color="auto"/>
        <w:bottom w:val="none" w:sz="0" w:space="0" w:color="auto"/>
        <w:right w:val="none" w:sz="0" w:space="0" w:color="auto"/>
      </w:divBdr>
    </w:div>
    <w:div w:id="276374270">
      <w:bodyDiv w:val="1"/>
      <w:marLeft w:val="0"/>
      <w:marRight w:val="0"/>
      <w:marTop w:val="0"/>
      <w:marBottom w:val="0"/>
      <w:divBdr>
        <w:top w:val="none" w:sz="0" w:space="0" w:color="auto"/>
        <w:left w:val="none" w:sz="0" w:space="0" w:color="auto"/>
        <w:bottom w:val="none" w:sz="0" w:space="0" w:color="auto"/>
        <w:right w:val="none" w:sz="0" w:space="0" w:color="auto"/>
      </w:divBdr>
    </w:div>
    <w:div w:id="279579092">
      <w:bodyDiv w:val="1"/>
      <w:marLeft w:val="0"/>
      <w:marRight w:val="0"/>
      <w:marTop w:val="0"/>
      <w:marBottom w:val="0"/>
      <w:divBdr>
        <w:top w:val="none" w:sz="0" w:space="0" w:color="auto"/>
        <w:left w:val="none" w:sz="0" w:space="0" w:color="auto"/>
        <w:bottom w:val="none" w:sz="0" w:space="0" w:color="auto"/>
        <w:right w:val="none" w:sz="0" w:space="0" w:color="auto"/>
      </w:divBdr>
    </w:div>
    <w:div w:id="339234732">
      <w:bodyDiv w:val="1"/>
      <w:marLeft w:val="0"/>
      <w:marRight w:val="0"/>
      <w:marTop w:val="0"/>
      <w:marBottom w:val="0"/>
      <w:divBdr>
        <w:top w:val="none" w:sz="0" w:space="0" w:color="auto"/>
        <w:left w:val="none" w:sz="0" w:space="0" w:color="auto"/>
        <w:bottom w:val="none" w:sz="0" w:space="0" w:color="auto"/>
        <w:right w:val="none" w:sz="0" w:space="0" w:color="auto"/>
      </w:divBdr>
    </w:div>
    <w:div w:id="345982625">
      <w:bodyDiv w:val="1"/>
      <w:marLeft w:val="0"/>
      <w:marRight w:val="0"/>
      <w:marTop w:val="0"/>
      <w:marBottom w:val="0"/>
      <w:divBdr>
        <w:top w:val="none" w:sz="0" w:space="0" w:color="auto"/>
        <w:left w:val="none" w:sz="0" w:space="0" w:color="auto"/>
        <w:bottom w:val="none" w:sz="0" w:space="0" w:color="auto"/>
        <w:right w:val="none" w:sz="0" w:space="0" w:color="auto"/>
      </w:divBdr>
    </w:div>
    <w:div w:id="381558840">
      <w:bodyDiv w:val="1"/>
      <w:marLeft w:val="0"/>
      <w:marRight w:val="0"/>
      <w:marTop w:val="0"/>
      <w:marBottom w:val="0"/>
      <w:divBdr>
        <w:top w:val="none" w:sz="0" w:space="0" w:color="auto"/>
        <w:left w:val="none" w:sz="0" w:space="0" w:color="auto"/>
        <w:bottom w:val="none" w:sz="0" w:space="0" w:color="auto"/>
        <w:right w:val="none" w:sz="0" w:space="0" w:color="auto"/>
      </w:divBdr>
    </w:div>
    <w:div w:id="422344166">
      <w:bodyDiv w:val="1"/>
      <w:marLeft w:val="0"/>
      <w:marRight w:val="0"/>
      <w:marTop w:val="0"/>
      <w:marBottom w:val="0"/>
      <w:divBdr>
        <w:top w:val="none" w:sz="0" w:space="0" w:color="auto"/>
        <w:left w:val="none" w:sz="0" w:space="0" w:color="auto"/>
        <w:bottom w:val="none" w:sz="0" w:space="0" w:color="auto"/>
        <w:right w:val="none" w:sz="0" w:space="0" w:color="auto"/>
      </w:divBdr>
    </w:div>
    <w:div w:id="473642334">
      <w:bodyDiv w:val="1"/>
      <w:marLeft w:val="0"/>
      <w:marRight w:val="0"/>
      <w:marTop w:val="0"/>
      <w:marBottom w:val="0"/>
      <w:divBdr>
        <w:top w:val="none" w:sz="0" w:space="0" w:color="auto"/>
        <w:left w:val="none" w:sz="0" w:space="0" w:color="auto"/>
        <w:bottom w:val="none" w:sz="0" w:space="0" w:color="auto"/>
        <w:right w:val="none" w:sz="0" w:space="0" w:color="auto"/>
      </w:divBdr>
    </w:div>
    <w:div w:id="492064874">
      <w:bodyDiv w:val="1"/>
      <w:marLeft w:val="0"/>
      <w:marRight w:val="0"/>
      <w:marTop w:val="0"/>
      <w:marBottom w:val="0"/>
      <w:divBdr>
        <w:top w:val="none" w:sz="0" w:space="0" w:color="auto"/>
        <w:left w:val="none" w:sz="0" w:space="0" w:color="auto"/>
        <w:bottom w:val="none" w:sz="0" w:space="0" w:color="auto"/>
        <w:right w:val="none" w:sz="0" w:space="0" w:color="auto"/>
      </w:divBdr>
    </w:div>
    <w:div w:id="546186842">
      <w:bodyDiv w:val="1"/>
      <w:marLeft w:val="0"/>
      <w:marRight w:val="0"/>
      <w:marTop w:val="0"/>
      <w:marBottom w:val="0"/>
      <w:divBdr>
        <w:top w:val="none" w:sz="0" w:space="0" w:color="auto"/>
        <w:left w:val="none" w:sz="0" w:space="0" w:color="auto"/>
        <w:bottom w:val="none" w:sz="0" w:space="0" w:color="auto"/>
        <w:right w:val="none" w:sz="0" w:space="0" w:color="auto"/>
      </w:divBdr>
    </w:div>
    <w:div w:id="548806732">
      <w:bodyDiv w:val="1"/>
      <w:marLeft w:val="0"/>
      <w:marRight w:val="0"/>
      <w:marTop w:val="0"/>
      <w:marBottom w:val="0"/>
      <w:divBdr>
        <w:top w:val="none" w:sz="0" w:space="0" w:color="auto"/>
        <w:left w:val="none" w:sz="0" w:space="0" w:color="auto"/>
        <w:bottom w:val="none" w:sz="0" w:space="0" w:color="auto"/>
        <w:right w:val="none" w:sz="0" w:space="0" w:color="auto"/>
      </w:divBdr>
    </w:div>
    <w:div w:id="549615172">
      <w:bodyDiv w:val="1"/>
      <w:marLeft w:val="0"/>
      <w:marRight w:val="0"/>
      <w:marTop w:val="0"/>
      <w:marBottom w:val="0"/>
      <w:divBdr>
        <w:top w:val="none" w:sz="0" w:space="0" w:color="auto"/>
        <w:left w:val="none" w:sz="0" w:space="0" w:color="auto"/>
        <w:bottom w:val="none" w:sz="0" w:space="0" w:color="auto"/>
        <w:right w:val="none" w:sz="0" w:space="0" w:color="auto"/>
      </w:divBdr>
    </w:div>
    <w:div w:id="554194279">
      <w:bodyDiv w:val="1"/>
      <w:marLeft w:val="0"/>
      <w:marRight w:val="0"/>
      <w:marTop w:val="0"/>
      <w:marBottom w:val="0"/>
      <w:divBdr>
        <w:top w:val="none" w:sz="0" w:space="0" w:color="auto"/>
        <w:left w:val="none" w:sz="0" w:space="0" w:color="auto"/>
        <w:bottom w:val="none" w:sz="0" w:space="0" w:color="auto"/>
        <w:right w:val="none" w:sz="0" w:space="0" w:color="auto"/>
      </w:divBdr>
    </w:div>
    <w:div w:id="560403730">
      <w:bodyDiv w:val="1"/>
      <w:marLeft w:val="0"/>
      <w:marRight w:val="0"/>
      <w:marTop w:val="0"/>
      <w:marBottom w:val="0"/>
      <w:divBdr>
        <w:top w:val="none" w:sz="0" w:space="0" w:color="auto"/>
        <w:left w:val="none" w:sz="0" w:space="0" w:color="auto"/>
        <w:bottom w:val="none" w:sz="0" w:space="0" w:color="auto"/>
        <w:right w:val="none" w:sz="0" w:space="0" w:color="auto"/>
      </w:divBdr>
    </w:div>
    <w:div w:id="619845963">
      <w:bodyDiv w:val="1"/>
      <w:marLeft w:val="0"/>
      <w:marRight w:val="0"/>
      <w:marTop w:val="0"/>
      <w:marBottom w:val="0"/>
      <w:divBdr>
        <w:top w:val="none" w:sz="0" w:space="0" w:color="auto"/>
        <w:left w:val="none" w:sz="0" w:space="0" w:color="auto"/>
        <w:bottom w:val="none" w:sz="0" w:space="0" w:color="auto"/>
        <w:right w:val="none" w:sz="0" w:space="0" w:color="auto"/>
      </w:divBdr>
    </w:div>
    <w:div w:id="673848003">
      <w:bodyDiv w:val="1"/>
      <w:marLeft w:val="0"/>
      <w:marRight w:val="0"/>
      <w:marTop w:val="0"/>
      <w:marBottom w:val="0"/>
      <w:divBdr>
        <w:top w:val="none" w:sz="0" w:space="0" w:color="auto"/>
        <w:left w:val="none" w:sz="0" w:space="0" w:color="auto"/>
        <w:bottom w:val="none" w:sz="0" w:space="0" w:color="auto"/>
        <w:right w:val="none" w:sz="0" w:space="0" w:color="auto"/>
      </w:divBdr>
    </w:div>
    <w:div w:id="681126664">
      <w:bodyDiv w:val="1"/>
      <w:marLeft w:val="0"/>
      <w:marRight w:val="0"/>
      <w:marTop w:val="0"/>
      <w:marBottom w:val="0"/>
      <w:divBdr>
        <w:top w:val="none" w:sz="0" w:space="0" w:color="auto"/>
        <w:left w:val="none" w:sz="0" w:space="0" w:color="auto"/>
        <w:bottom w:val="none" w:sz="0" w:space="0" w:color="auto"/>
        <w:right w:val="none" w:sz="0" w:space="0" w:color="auto"/>
      </w:divBdr>
    </w:div>
    <w:div w:id="718744728">
      <w:bodyDiv w:val="1"/>
      <w:marLeft w:val="0"/>
      <w:marRight w:val="0"/>
      <w:marTop w:val="0"/>
      <w:marBottom w:val="0"/>
      <w:divBdr>
        <w:top w:val="none" w:sz="0" w:space="0" w:color="auto"/>
        <w:left w:val="none" w:sz="0" w:space="0" w:color="auto"/>
        <w:bottom w:val="none" w:sz="0" w:space="0" w:color="auto"/>
        <w:right w:val="none" w:sz="0" w:space="0" w:color="auto"/>
      </w:divBdr>
    </w:div>
    <w:div w:id="739597899">
      <w:bodyDiv w:val="1"/>
      <w:marLeft w:val="0"/>
      <w:marRight w:val="0"/>
      <w:marTop w:val="0"/>
      <w:marBottom w:val="0"/>
      <w:divBdr>
        <w:top w:val="none" w:sz="0" w:space="0" w:color="auto"/>
        <w:left w:val="none" w:sz="0" w:space="0" w:color="auto"/>
        <w:bottom w:val="none" w:sz="0" w:space="0" w:color="auto"/>
        <w:right w:val="none" w:sz="0" w:space="0" w:color="auto"/>
      </w:divBdr>
    </w:div>
    <w:div w:id="758798262">
      <w:bodyDiv w:val="1"/>
      <w:marLeft w:val="0"/>
      <w:marRight w:val="0"/>
      <w:marTop w:val="0"/>
      <w:marBottom w:val="0"/>
      <w:divBdr>
        <w:top w:val="none" w:sz="0" w:space="0" w:color="auto"/>
        <w:left w:val="none" w:sz="0" w:space="0" w:color="auto"/>
        <w:bottom w:val="none" w:sz="0" w:space="0" w:color="auto"/>
        <w:right w:val="none" w:sz="0" w:space="0" w:color="auto"/>
      </w:divBdr>
    </w:div>
    <w:div w:id="760953931">
      <w:bodyDiv w:val="1"/>
      <w:marLeft w:val="0"/>
      <w:marRight w:val="0"/>
      <w:marTop w:val="0"/>
      <w:marBottom w:val="0"/>
      <w:divBdr>
        <w:top w:val="none" w:sz="0" w:space="0" w:color="auto"/>
        <w:left w:val="none" w:sz="0" w:space="0" w:color="auto"/>
        <w:bottom w:val="none" w:sz="0" w:space="0" w:color="auto"/>
        <w:right w:val="none" w:sz="0" w:space="0" w:color="auto"/>
      </w:divBdr>
    </w:div>
    <w:div w:id="782726239">
      <w:bodyDiv w:val="1"/>
      <w:marLeft w:val="0"/>
      <w:marRight w:val="0"/>
      <w:marTop w:val="0"/>
      <w:marBottom w:val="0"/>
      <w:divBdr>
        <w:top w:val="none" w:sz="0" w:space="0" w:color="auto"/>
        <w:left w:val="none" w:sz="0" w:space="0" w:color="auto"/>
        <w:bottom w:val="none" w:sz="0" w:space="0" w:color="auto"/>
        <w:right w:val="none" w:sz="0" w:space="0" w:color="auto"/>
      </w:divBdr>
    </w:div>
    <w:div w:id="800657200">
      <w:bodyDiv w:val="1"/>
      <w:marLeft w:val="0"/>
      <w:marRight w:val="0"/>
      <w:marTop w:val="0"/>
      <w:marBottom w:val="0"/>
      <w:divBdr>
        <w:top w:val="none" w:sz="0" w:space="0" w:color="auto"/>
        <w:left w:val="none" w:sz="0" w:space="0" w:color="auto"/>
        <w:bottom w:val="none" w:sz="0" w:space="0" w:color="auto"/>
        <w:right w:val="none" w:sz="0" w:space="0" w:color="auto"/>
      </w:divBdr>
    </w:div>
    <w:div w:id="859243468">
      <w:bodyDiv w:val="1"/>
      <w:marLeft w:val="0"/>
      <w:marRight w:val="0"/>
      <w:marTop w:val="0"/>
      <w:marBottom w:val="0"/>
      <w:divBdr>
        <w:top w:val="none" w:sz="0" w:space="0" w:color="auto"/>
        <w:left w:val="none" w:sz="0" w:space="0" w:color="auto"/>
        <w:bottom w:val="none" w:sz="0" w:space="0" w:color="auto"/>
        <w:right w:val="none" w:sz="0" w:space="0" w:color="auto"/>
      </w:divBdr>
    </w:div>
    <w:div w:id="866212841">
      <w:bodyDiv w:val="1"/>
      <w:marLeft w:val="0"/>
      <w:marRight w:val="0"/>
      <w:marTop w:val="0"/>
      <w:marBottom w:val="0"/>
      <w:divBdr>
        <w:top w:val="none" w:sz="0" w:space="0" w:color="auto"/>
        <w:left w:val="none" w:sz="0" w:space="0" w:color="auto"/>
        <w:bottom w:val="none" w:sz="0" w:space="0" w:color="auto"/>
        <w:right w:val="none" w:sz="0" w:space="0" w:color="auto"/>
      </w:divBdr>
    </w:div>
    <w:div w:id="896473400">
      <w:bodyDiv w:val="1"/>
      <w:marLeft w:val="0"/>
      <w:marRight w:val="0"/>
      <w:marTop w:val="0"/>
      <w:marBottom w:val="0"/>
      <w:divBdr>
        <w:top w:val="none" w:sz="0" w:space="0" w:color="auto"/>
        <w:left w:val="none" w:sz="0" w:space="0" w:color="auto"/>
        <w:bottom w:val="none" w:sz="0" w:space="0" w:color="auto"/>
        <w:right w:val="none" w:sz="0" w:space="0" w:color="auto"/>
      </w:divBdr>
    </w:div>
    <w:div w:id="899174739">
      <w:bodyDiv w:val="1"/>
      <w:marLeft w:val="0"/>
      <w:marRight w:val="0"/>
      <w:marTop w:val="0"/>
      <w:marBottom w:val="0"/>
      <w:divBdr>
        <w:top w:val="none" w:sz="0" w:space="0" w:color="auto"/>
        <w:left w:val="none" w:sz="0" w:space="0" w:color="auto"/>
        <w:bottom w:val="none" w:sz="0" w:space="0" w:color="auto"/>
        <w:right w:val="none" w:sz="0" w:space="0" w:color="auto"/>
      </w:divBdr>
    </w:div>
    <w:div w:id="936864673">
      <w:bodyDiv w:val="1"/>
      <w:marLeft w:val="0"/>
      <w:marRight w:val="0"/>
      <w:marTop w:val="0"/>
      <w:marBottom w:val="0"/>
      <w:divBdr>
        <w:top w:val="none" w:sz="0" w:space="0" w:color="auto"/>
        <w:left w:val="none" w:sz="0" w:space="0" w:color="auto"/>
        <w:bottom w:val="none" w:sz="0" w:space="0" w:color="auto"/>
        <w:right w:val="none" w:sz="0" w:space="0" w:color="auto"/>
      </w:divBdr>
    </w:div>
    <w:div w:id="1056468693">
      <w:bodyDiv w:val="1"/>
      <w:marLeft w:val="0"/>
      <w:marRight w:val="0"/>
      <w:marTop w:val="0"/>
      <w:marBottom w:val="0"/>
      <w:divBdr>
        <w:top w:val="none" w:sz="0" w:space="0" w:color="auto"/>
        <w:left w:val="none" w:sz="0" w:space="0" w:color="auto"/>
        <w:bottom w:val="none" w:sz="0" w:space="0" w:color="auto"/>
        <w:right w:val="none" w:sz="0" w:space="0" w:color="auto"/>
      </w:divBdr>
    </w:div>
    <w:div w:id="1208713010">
      <w:bodyDiv w:val="1"/>
      <w:marLeft w:val="0"/>
      <w:marRight w:val="0"/>
      <w:marTop w:val="0"/>
      <w:marBottom w:val="0"/>
      <w:divBdr>
        <w:top w:val="none" w:sz="0" w:space="0" w:color="auto"/>
        <w:left w:val="none" w:sz="0" w:space="0" w:color="auto"/>
        <w:bottom w:val="none" w:sz="0" w:space="0" w:color="auto"/>
        <w:right w:val="none" w:sz="0" w:space="0" w:color="auto"/>
      </w:divBdr>
    </w:div>
    <w:div w:id="1236090992">
      <w:bodyDiv w:val="1"/>
      <w:marLeft w:val="0"/>
      <w:marRight w:val="0"/>
      <w:marTop w:val="0"/>
      <w:marBottom w:val="0"/>
      <w:divBdr>
        <w:top w:val="none" w:sz="0" w:space="0" w:color="auto"/>
        <w:left w:val="none" w:sz="0" w:space="0" w:color="auto"/>
        <w:bottom w:val="none" w:sz="0" w:space="0" w:color="auto"/>
        <w:right w:val="none" w:sz="0" w:space="0" w:color="auto"/>
      </w:divBdr>
    </w:div>
    <w:div w:id="1266378886">
      <w:bodyDiv w:val="1"/>
      <w:marLeft w:val="0"/>
      <w:marRight w:val="0"/>
      <w:marTop w:val="0"/>
      <w:marBottom w:val="0"/>
      <w:divBdr>
        <w:top w:val="none" w:sz="0" w:space="0" w:color="auto"/>
        <w:left w:val="none" w:sz="0" w:space="0" w:color="auto"/>
        <w:bottom w:val="none" w:sz="0" w:space="0" w:color="auto"/>
        <w:right w:val="none" w:sz="0" w:space="0" w:color="auto"/>
      </w:divBdr>
    </w:div>
    <w:div w:id="1266578255">
      <w:bodyDiv w:val="1"/>
      <w:marLeft w:val="0"/>
      <w:marRight w:val="0"/>
      <w:marTop w:val="0"/>
      <w:marBottom w:val="0"/>
      <w:divBdr>
        <w:top w:val="none" w:sz="0" w:space="0" w:color="auto"/>
        <w:left w:val="none" w:sz="0" w:space="0" w:color="auto"/>
        <w:bottom w:val="none" w:sz="0" w:space="0" w:color="auto"/>
        <w:right w:val="none" w:sz="0" w:space="0" w:color="auto"/>
      </w:divBdr>
    </w:div>
    <w:div w:id="1285500425">
      <w:bodyDiv w:val="1"/>
      <w:marLeft w:val="0"/>
      <w:marRight w:val="0"/>
      <w:marTop w:val="0"/>
      <w:marBottom w:val="0"/>
      <w:divBdr>
        <w:top w:val="none" w:sz="0" w:space="0" w:color="auto"/>
        <w:left w:val="none" w:sz="0" w:space="0" w:color="auto"/>
        <w:bottom w:val="none" w:sz="0" w:space="0" w:color="auto"/>
        <w:right w:val="none" w:sz="0" w:space="0" w:color="auto"/>
      </w:divBdr>
    </w:div>
    <w:div w:id="1306857242">
      <w:bodyDiv w:val="1"/>
      <w:marLeft w:val="0"/>
      <w:marRight w:val="0"/>
      <w:marTop w:val="0"/>
      <w:marBottom w:val="0"/>
      <w:divBdr>
        <w:top w:val="none" w:sz="0" w:space="0" w:color="auto"/>
        <w:left w:val="none" w:sz="0" w:space="0" w:color="auto"/>
        <w:bottom w:val="none" w:sz="0" w:space="0" w:color="auto"/>
        <w:right w:val="none" w:sz="0" w:space="0" w:color="auto"/>
      </w:divBdr>
    </w:div>
    <w:div w:id="1335188304">
      <w:bodyDiv w:val="1"/>
      <w:marLeft w:val="0"/>
      <w:marRight w:val="0"/>
      <w:marTop w:val="0"/>
      <w:marBottom w:val="0"/>
      <w:divBdr>
        <w:top w:val="none" w:sz="0" w:space="0" w:color="auto"/>
        <w:left w:val="none" w:sz="0" w:space="0" w:color="auto"/>
        <w:bottom w:val="none" w:sz="0" w:space="0" w:color="auto"/>
        <w:right w:val="none" w:sz="0" w:space="0" w:color="auto"/>
      </w:divBdr>
    </w:div>
    <w:div w:id="1357578926">
      <w:bodyDiv w:val="1"/>
      <w:marLeft w:val="0"/>
      <w:marRight w:val="0"/>
      <w:marTop w:val="0"/>
      <w:marBottom w:val="0"/>
      <w:divBdr>
        <w:top w:val="none" w:sz="0" w:space="0" w:color="auto"/>
        <w:left w:val="none" w:sz="0" w:space="0" w:color="auto"/>
        <w:bottom w:val="none" w:sz="0" w:space="0" w:color="auto"/>
        <w:right w:val="none" w:sz="0" w:space="0" w:color="auto"/>
      </w:divBdr>
    </w:div>
    <w:div w:id="1375698170">
      <w:bodyDiv w:val="1"/>
      <w:marLeft w:val="0"/>
      <w:marRight w:val="0"/>
      <w:marTop w:val="0"/>
      <w:marBottom w:val="0"/>
      <w:divBdr>
        <w:top w:val="none" w:sz="0" w:space="0" w:color="auto"/>
        <w:left w:val="none" w:sz="0" w:space="0" w:color="auto"/>
        <w:bottom w:val="none" w:sz="0" w:space="0" w:color="auto"/>
        <w:right w:val="none" w:sz="0" w:space="0" w:color="auto"/>
      </w:divBdr>
    </w:div>
    <w:div w:id="1393773927">
      <w:bodyDiv w:val="1"/>
      <w:marLeft w:val="0"/>
      <w:marRight w:val="0"/>
      <w:marTop w:val="0"/>
      <w:marBottom w:val="0"/>
      <w:divBdr>
        <w:top w:val="none" w:sz="0" w:space="0" w:color="auto"/>
        <w:left w:val="none" w:sz="0" w:space="0" w:color="auto"/>
        <w:bottom w:val="none" w:sz="0" w:space="0" w:color="auto"/>
        <w:right w:val="none" w:sz="0" w:space="0" w:color="auto"/>
      </w:divBdr>
    </w:div>
    <w:div w:id="1412267711">
      <w:bodyDiv w:val="1"/>
      <w:marLeft w:val="0"/>
      <w:marRight w:val="0"/>
      <w:marTop w:val="0"/>
      <w:marBottom w:val="0"/>
      <w:divBdr>
        <w:top w:val="none" w:sz="0" w:space="0" w:color="auto"/>
        <w:left w:val="none" w:sz="0" w:space="0" w:color="auto"/>
        <w:bottom w:val="none" w:sz="0" w:space="0" w:color="auto"/>
        <w:right w:val="none" w:sz="0" w:space="0" w:color="auto"/>
      </w:divBdr>
    </w:div>
    <w:div w:id="1415282297">
      <w:bodyDiv w:val="1"/>
      <w:marLeft w:val="0"/>
      <w:marRight w:val="0"/>
      <w:marTop w:val="0"/>
      <w:marBottom w:val="0"/>
      <w:divBdr>
        <w:top w:val="none" w:sz="0" w:space="0" w:color="auto"/>
        <w:left w:val="none" w:sz="0" w:space="0" w:color="auto"/>
        <w:bottom w:val="none" w:sz="0" w:space="0" w:color="auto"/>
        <w:right w:val="none" w:sz="0" w:space="0" w:color="auto"/>
      </w:divBdr>
    </w:div>
    <w:div w:id="1422989230">
      <w:bodyDiv w:val="1"/>
      <w:marLeft w:val="0"/>
      <w:marRight w:val="0"/>
      <w:marTop w:val="0"/>
      <w:marBottom w:val="0"/>
      <w:divBdr>
        <w:top w:val="none" w:sz="0" w:space="0" w:color="auto"/>
        <w:left w:val="none" w:sz="0" w:space="0" w:color="auto"/>
        <w:bottom w:val="none" w:sz="0" w:space="0" w:color="auto"/>
        <w:right w:val="none" w:sz="0" w:space="0" w:color="auto"/>
      </w:divBdr>
    </w:div>
    <w:div w:id="1440949200">
      <w:bodyDiv w:val="1"/>
      <w:marLeft w:val="0"/>
      <w:marRight w:val="0"/>
      <w:marTop w:val="0"/>
      <w:marBottom w:val="0"/>
      <w:divBdr>
        <w:top w:val="none" w:sz="0" w:space="0" w:color="auto"/>
        <w:left w:val="none" w:sz="0" w:space="0" w:color="auto"/>
        <w:bottom w:val="none" w:sz="0" w:space="0" w:color="auto"/>
        <w:right w:val="none" w:sz="0" w:space="0" w:color="auto"/>
      </w:divBdr>
    </w:div>
    <w:div w:id="1462920477">
      <w:bodyDiv w:val="1"/>
      <w:marLeft w:val="0"/>
      <w:marRight w:val="0"/>
      <w:marTop w:val="0"/>
      <w:marBottom w:val="0"/>
      <w:divBdr>
        <w:top w:val="none" w:sz="0" w:space="0" w:color="auto"/>
        <w:left w:val="none" w:sz="0" w:space="0" w:color="auto"/>
        <w:bottom w:val="none" w:sz="0" w:space="0" w:color="auto"/>
        <w:right w:val="none" w:sz="0" w:space="0" w:color="auto"/>
      </w:divBdr>
    </w:div>
    <w:div w:id="1463108579">
      <w:bodyDiv w:val="1"/>
      <w:marLeft w:val="0"/>
      <w:marRight w:val="0"/>
      <w:marTop w:val="0"/>
      <w:marBottom w:val="0"/>
      <w:divBdr>
        <w:top w:val="none" w:sz="0" w:space="0" w:color="auto"/>
        <w:left w:val="none" w:sz="0" w:space="0" w:color="auto"/>
        <w:bottom w:val="none" w:sz="0" w:space="0" w:color="auto"/>
        <w:right w:val="none" w:sz="0" w:space="0" w:color="auto"/>
      </w:divBdr>
    </w:div>
    <w:div w:id="1476679194">
      <w:bodyDiv w:val="1"/>
      <w:marLeft w:val="0"/>
      <w:marRight w:val="0"/>
      <w:marTop w:val="0"/>
      <w:marBottom w:val="0"/>
      <w:divBdr>
        <w:top w:val="none" w:sz="0" w:space="0" w:color="auto"/>
        <w:left w:val="none" w:sz="0" w:space="0" w:color="auto"/>
        <w:bottom w:val="none" w:sz="0" w:space="0" w:color="auto"/>
        <w:right w:val="none" w:sz="0" w:space="0" w:color="auto"/>
      </w:divBdr>
    </w:div>
    <w:div w:id="1521818657">
      <w:bodyDiv w:val="1"/>
      <w:marLeft w:val="0"/>
      <w:marRight w:val="0"/>
      <w:marTop w:val="0"/>
      <w:marBottom w:val="0"/>
      <w:divBdr>
        <w:top w:val="none" w:sz="0" w:space="0" w:color="auto"/>
        <w:left w:val="none" w:sz="0" w:space="0" w:color="auto"/>
        <w:bottom w:val="none" w:sz="0" w:space="0" w:color="auto"/>
        <w:right w:val="none" w:sz="0" w:space="0" w:color="auto"/>
      </w:divBdr>
    </w:div>
    <w:div w:id="1526478923">
      <w:bodyDiv w:val="1"/>
      <w:marLeft w:val="0"/>
      <w:marRight w:val="0"/>
      <w:marTop w:val="0"/>
      <w:marBottom w:val="0"/>
      <w:divBdr>
        <w:top w:val="none" w:sz="0" w:space="0" w:color="auto"/>
        <w:left w:val="none" w:sz="0" w:space="0" w:color="auto"/>
        <w:bottom w:val="none" w:sz="0" w:space="0" w:color="auto"/>
        <w:right w:val="none" w:sz="0" w:space="0" w:color="auto"/>
      </w:divBdr>
    </w:div>
    <w:div w:id="1571386837">
      <w:bodyDiv w:val="1"/>
      <w:marLeft w:val="0"/>
      <w:marRight w:val="0"/>
      <w:marTop w:val="0"/>
      <w:marBottom w:val="0"/>
      <w:divBdr>
        <w:top w:val="none" w:sz="0" w:space="0" w:color="auto"/>
        <w:left w:val="none" w:sz="0" w:space="0" w:color="auto"/>
        <w:bottom w:val="none" w:sz="0" w:space="0" w:color="auto"/>
        <w:right w:val="none" w:sz="0" w:space="0" w:color="auto"/>
      </w:divBdr>
    </w:div>
    <w:div w:id="1623224068">
      <w:bodyDiv w:val="1"/>
      <w:marLeft w:val="0"/>
      <w:marRight w:val="0"/>
      <w:marTop w:val="0"/>
      <w:marBottom w:val="0"/>
      <w:divBdr>
        <w:top w:val="none" w:sz="0" w:space="0" w:color="auto"/>
        <w:left w:val="none" w:sz="0" w:space="0" w:color="auto"/>
        <w:bottom w:val="none" w:sz="0" w:space="0" w:color="auto"/>
        <w:right w:val="none" w:sz="0" w:space="0" w:color="auto"/>
      </w:divBdr>
    </w:div>
    <w:div w:id="1625161963">
      <w:bodyDiv w:val="1"/>
      <w:marLeft w:val="0"/>
      <w:marRight w:val="0"/>
      <w:marTop w:val="0"/>
      <w:marBottom w:val="0"/>
      <w:divBdr>
        <w:top w:val="none" w:sz="0" w:space="0" w:color="auto"/>
        <w:left w:val="none" w:sz="0" w:space="0" w:color="auto"/>
        <w:bottom w:val="none" w:sz="0" w:space="0" w:color="auto"/>
        <w:right w:val="none" w:sz="0" w:space="0" w:color="auto"/>
      </w:divBdr>
    </w:div>
    <w:div w:id="1646811637">
      <w:bodyDiv w:val="1"/>
      <w:marLeft w:val="0"/>
      <w:marRight w:val="0"/>
      <w:marTop w:val="0"/>
      <w:marBottom w:val="0"/>
      <w:divBdr>
        <w:top w:val="none" w:sz="0" w:space="0" w:color="auto"/>
        <w:left w:val="none" w:sz="0" w:space="0" w:color="auto"/>
        <w:bottom w:val="none" w:sz="0" w:space="0" w:color="auto"/>
        <w:right w:val="none" w:sz="0" w:space="0" w:color="auto"/>
      </w:divBdr>
    </w:div>
    <w:div w:id="1698314163">
      <w:bodyDiv w:val="1"/>
      <w:marLeft w:val="0"/>
      <w:marRight w:val="0"/>
      <w:marTop w:val="0"/>
      <w:marBottom w:val="0"/>
      <w:divBdr>
        <w:top w:val="none" w:sz="0" w:space="0" w:color="auto"/>
        <w:left w:val="none" w:sz="0" w:space="0" w:color="auto"/>
        <w:bottom w:val="none" w:sz="0" w:space="0" w:color="auto"/>
        <w:right w:val="none" w:sz="0" w:space="0" w:color="auto"/>
      </w:divBdr>
    </w:div>
    <w:div w:id="1717466635">
      <w:bodyDiv w:val="1"/>
      <w:marLeft w:val="0"/>
      <w:marRight w:val="0"/>
      <w:marTop w:val="0"/>
      <w:marBottom w:val="0"/>
      <w:divBdr>
        <w:top w:val="none" w:sz="0" w:space="0" w:color="auto"/>
        <w:left w:val="none" w:sz="0" w:space="0" w:color="auto"/>
        <w:bottom w:val="none" w:sz="0" w:space="0" w:color="auto"/>
        <w:right w:val="none" w:sz="0" w:space="0" w:color="auto"/>
      </w:divBdr>
    </w:div>
    <w:div w:id="1726559444">
      <w:bodyDiv w:val="1"/>
      <w:marLeft w:val="0"/>
      <w:marRight w:val="0"/>
      <w:marTop w:val="0"/>
      <w:marBottom w:val="0"/>
      <w:divBdr>
        <w:top w:val="none" w:sz="0" w:space="0" w:color="auto"/>
        <w:left w:val="none" w:sz="0" w:space="0" w:color="auto"/>
        <w:bottom w:val="none" w:sz="0" w:space="0" w:color="auto"/>
        <w:right w:val="none" w:sz="0" w:space="0" w:color="auto"/>
      </w:divBdr>
    </w:div>
    <w:div w:id="1733043970">
      <w:bodyDiv w:val="1"/>
      <w:marLeft w:val="0"/>
      <w:marRight w:val="0"/>
      <w:marTop w:val="0"/>
      <w:marBottom w:val="0"/>
      <w:divBdr>
        <w:top w:val="none" w:sz="0" w:space="0" w:color="auto"/>
        <w:left w:val="none" w:sz="0" w:space="0" w:color="auto"/>
        <w:bottom w:val="none" w:sz="0" w:space="0" w:color="auto"/>
        <w:right w:val="none" w:sz="0" w:space="0" w:color="auto"/>
      </w:divBdr>
    </w:div>
    <w:div w:id="1759596602">
      <w:bodyDiv w:val="1"/>
      <w:marLeft w:val="0"/>
      <w:marRight w:val="0"/>
      <w:marTop w:val="0"/>
      <w:marBottom w:val="0"/>
      <w:divBdr>
        <w:top w:val="none" w:sz="0" w:space="0" w:color="auto"/>
        <w:left w:val="none" w:sz="0" w:space="0" w:color="auto"/>
        <w:bottom w:val="none" w:sz="0" w:space="0" w:color="auto"/>
        <w:right w:val="none" w:sz="0" w:space="0" w:color="auto"/>
      </w:divBdr>
    </w:div>
    <w:div w:id="1802914474">
      <w:bodyDiv w:val="1"/>
      <w:marLeft w:val="0"/>
      <w:marRight w:val="0"/>
      <w:marTop w:val="0"/>
      <w:marBottom w:val="0"/>
      <w:divBdr>
        <w:top w:val="none" w:sz="0" w:space="0" w:color="auto"/>
        <w:left w:val="none" w:sz="0" w:space="0" w:color="auto"/>
        <w:bottom w:val="none" w:sz="0" w:space="0" w:color="auto"/>
        <w:right w:val="none" w:sz="0" w:space="0" w:color="auto"/>
      </w:divBdr>
    </w:div>
    <w:div w:id="1806925673">
      <w:bodyDiv w:val="1"/>
      <w:marLeft w:val="0"/>
      <w:marRight w:val="0"/>
      <w:marTop w:val="0"/>
      <w:marBottom w:val="0"/>
      <w:divBdr>
        <w:top w:val="none" w:sz="0" w:space="0" w:color="auto"/>
        <w:left w:val="none" w:sz="0" w:space="0" w:color="auto"/>
        <w:bottom w:val="none" w:sz="0" w:space="0" w:color="auto"/>
        <w:right w:val="none" w:sz="0" w:space="0" w:color="auto"/>
      </w:divBdr>
    </w:div>
    <w:div w:id="1852138970">
      <w:bodyDiv w:val="1"/>
      <w:marLeft w:val="0"/>
      <w:marRight w:val="0"/>
      <w:marTop w:val="0"/>
      <w:marBottom w:val="0"/>
      <w:divBdr>
        <w:top w:val="none" w:sz="0" w:space="0" w:color="auto"/>
        <w:left w:val="none" w:sz="0" w:space="0" w:color="auto"/>
        <w:bottom w:val="none" w:sz="0" w:space="0" w:color="auto"/>
        <w:right w:val="none" w:sz="0" w:space="0" w:color="auto"/>
      </w:divBdr>
    </w:div>
    <w:div w:id="1882936991">
      <w:bodyDiv w:val="1"/>
      <w:marLeft w:val="0"/>
      <w:marRight w:val="0"/>
      <w:marTop w:val="0"/>
      <w:marBottom w:val="0"/>
      <w:divBdr>
        <w:top w:val="none" w:sz="0" w:space="0" w:color="auto"/>
        <w:left w:val="none" w:sz="0" w:space="0" w:color="auto"/>
        <w:bottom w:val="none" w:sz="0" w:space="0" w:color="auto"/>
        <w:right w:val="none" w:sz="0" w:space="0" w:color="auto"/>
      </w:divBdr>
    </w:div>
    <w:div w:id="1898586633">
      <w:bodyDiv w:val="1"/>
      <w:marLeft w:val="0"/>
      <w:marRight w:val="0"/>
      <w:marTop w:val="0"/>
      <w:marBottom w:val="0"/>
      <w:divBdr>
        <w:top w:val="none" w:sz="0" w:space="0" w:color="auto"/>
        <w:left w:val="none" w:sz="0" w:space="0" w:color="auto"/>
        <w:bottom w:val="none" w:sz="0" w:space="0" w:color="auto"/>
        <w:right w:val="none" w:sz="0" w:space="0" w:color="auto"/>
      </w:divBdr>
    </w:div>
    <w:div w:id="1908026233">
      <w:bodyDiv w:val="1"/>
      <w:marLeft w:val="0"/>
      <w:marRight w:val="0"/>
      <w:marTop w:val="0"/>
      <w:marBottom w:val="0"/>
      <w:divBdr>
        <w:top w:val="none" w:sz="0" w:space="0" w:color="auto"/>
        <w:left w:val="none" w:sz="0" w:space="0" w:color="auto"/>
        <w:bottom w:val="none" w:sz="0" w:space="0" w:color="auto"/>
        <w:right w:val="none" w:sz="0" w:space="0" w:color="auto"/>
      </w:divBdr>
    </w:div>
    <w:div w:id="1947612325">
      <w:bodyDiv w:val="1"/>
      <w:marLeft w:val="0"/>
      <w:marRight w:val="0"/>
      <w:marTop w:val="0"/>
      <w:marBottom w:val="0"/>
      <w:divBdr>
        <w:top w:val="none" w:sz="0" w:space="0" w:color="auto"/>
        <w:left w:val="none" w:sz="0" w:space="0" w:color="auto"/>
        <w:bottom w:val="none" w:sz="0" w:space="0" w:color="auto"/>
        <w:right w:val="none" w:sz="0" w:space="0" w:color="auto"/>
      </w:divBdr>
    </w:div>
    <w:div w:id="1962420132">
      <w:bodyDiv w:val="1"/>
      <w:marLeft w:val="0"/>
      <w:marRight w:val="0"/>
      <w:marTop w:val="0"/>
      <w:marBottom w:val="0"/>
      <w:divBdr>
        <w:top w:val="none" w:sz="0" w:space="0" w:color="auto"/>
        <w:left w:val="none" w:sz="0" w:space="0" w:color="auto"/>
        <w:bottom w:val="none" w:sz="0" w:space="0" w:color="auto"/>
        <w:right w:val="none" w:sz="0" w:space="0" w:color="auto"/>
      </w:divBdr>
    </w:div>
    <w:div w:id="1967081496">
      <w:bodyDiv w:val="1"/>
      <w:marLeft w:val="0"/>
      <w:marRight w:val="0"/>
      <w:marTop w:val="0"/>
      <w:marBottom w:val="0"/>
      <w:divBdr>
        <w:top w:val="none" w:sz="0" w:space="0" w:color="auto"/>
        <w:left w:val="none" w:sz="0" w:space="0" w:color="auto"/>
        <w:bottom w:val="none" w:sz="0" w:space="0" w:color="auto"/>
        <w:right w:val="none" w:sz="0" w:space="0" w:color="auto"/>
      </w:divBdr>
    </w:div>
    <w:div w:id="1969627964">
      <w:bodyDiv w:val="1"/>
      <w:marLeft w:val="0"/>
      <w:marRight w:val="0"/>
      <w:marTop w:val="0"/>
      <w:marBottom w:val="0"/>
      <w:divBdr>
        <w:top w:val="none" w:sz="0" w:space="0" w:color="auto"/>
        <w:left w:val="none" w:sz="0" w:space="0" w:color="auto"/>
        <w:bottom w:val="none" w:sz="0" w:space="0" w:color="auto"/>
        <w:right w:val="none" w:sz="0" w:space="0" w:color="auto"/>
      </w:divBdr>
    </w:div>
    <w:div w:id="1982803203">
      <w:bodyDiv w:val="1"/>
      <w:marLeft w:val="0"/>
      <w:marRight w:val="0"/>
      <w:marTop w:val="0"/>
      <w:marBottom w:val="0"/>
      <w:divBdr>
        <w:top w:val="none" w:sz="0" w:space="0" w:color="auto"/>
        <w:left w:val="none" w:sz="0" w:space="0" w:color="auto"/>
        <w:bottom w:val="none" w:sz="0" w:space="0" w:color="auto"/>
        <w:right w:val="none" w:sz="0" w:space="0" w:color="auto"/>
      </w:divBdr>
    </w:div>
    <w:div w:id="2007129139">
      <w:bodyDiv w:val="1"/>
      <w:marLeft w:val="0"/>
      <w:marRight w:val="0"/>
      <w:marTop w:val="0"/>
      <w:marBottom w:val="0"/>
      <w:divBdr>
        <w:top w:val="none" w:sz="0" w:space="0" w:color="auto"/>
        <w:left w:val="none" w:sz="0" w:space="0" w:color="auto"/>
        <w:bottom w:val="none" w:sz="0" w:space="0" w:color="auto"/>
        <w:right w:val="none" w:sz="0" w:space="0" w:color="auto"/>
      </w:divBdr>
    </w:div>
    <w:div w:id="2015261567">
      <w:bodyDiv w:val="1"/>
      <w:marLeft w:val="0"/>
      <w:marRight w:val="0"/>
      <w:marTop w:val="0"/>
      <w:marBottom w:val="0"/>
      <w:divBdr>
        <w:top w:val="none" w:sz="0" w:space="0" w:color="auto"/>
        <w:left w:val="none" w:sz="0" w:space="0" w:color="auto"/>
        <w:bottom w:val="none" w:sz="0" w:space="0" w:color="auto"/>
        <w:right w:val="none" w:sz="0" w:space="0" w:color="auto"/>
      </w:divBdr>
    </w:div>
    <w:div w:id="2042047308">
      <w:bodyDiv w:val="1"/>
      <w:marLeft w:val="0"/>
      <w:marRight w:val="0"/>
      <w:marTop w:val="0"/>
      <w:marBottom w:val="0"/>
      <w:divBdr>
        <w:top w:val="none" w:sz="0" w:space="0" w:color="auto"/>
        <w:left w:val="none" w:sz="0" w:space="0" w:color="auto"/>
        <w:bottom w:val="none" w:sz="0" w:space="0" w:color="auto"/>
        <w:right w:val="none" w:sz="0" w:space="0" w:color="auto"/>
      </w:divBdr>
    </w:div>
    <w:div w:id="2097745372">
      <w:bodyDiv w:val="1"/>
      <w:marLeft w:val="0"/>
      <w:marRight w:val="0"/>
      <w:marTop w:val="0"/>
      <w:marBottom w:val="0"/>
      <w:divBdr>
        <w:top w:val="none" w:sz="0" w:space="0" w:color="auto"/>
        <w:left w:val="none" w:sz="0" w:space="0" w:color="auto"/>
        <w:bottom w:val="none" w:sz="0" w:space="0" w:color="auto"/>
        <w:right w:val="none" w:sz="0" w:space="0" w:color="auto"/>
      </w:divBdr>
    </w:div>
    <w:div w:id="2126194481">
      <w:bodyDiv w:val="1"/>
      <w:marLeft w:val="0"/>
      <w:marRight w:val="0"/>
      <w:marTop w:val="0"/>
      <w:marBottom w:val="0"/>
      <w:divBdr>
        <w:top w:val="none" w:sz="0" w:space="0" w:color="auto"/>
        <w:left w:val="none" w:sz="0" w:space="0" w:color="auto"/>
        <w:bottom w:val="none" w:sz="0" w:space="0" w:color="auto"/>
        <w:right w:val="none" w:sz="0" w:space="0" w:color="auto"/>
      </w:divBdr>
    </w:div>
    <w:div w:id="21315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govdelivery.com:80/track?type=click&amp;enid=ZWFzPTEmbWFpbGluZ2lkPTIwMTcwODAzLjc2NjE3ODUxJm1lc3NhZ2VpZD1NREItUFJELUJVTC0yMDE3MDgwMy43NjYxNzg1MSZkYXRhYmFzZWlkPTEwMDEmc2VyaWFsPTE3ODg5Mjg4JmVtYWlsaWQ9dmlja2V5QGNob21ob3VzaW5nLm9yZyZ1c2VyaWQ9dmlja2V5QGNob21ob3VzaW5nLm9yZyZmbD0mZXh0cmE9TXVsdGl2YXJpYXRlSWQ9JiYm&amp;&amp;&amp;102&amp;&amp;&amp;http://www.maine.gov/dhhs/oms/rules/demonstration-waivers.shtml?utm_medium=email&amp;utm_source=govdeliver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5" ma:contentTypeDescription="Create a new document." ma:contentTypeScope="" ma:versionID="37ccb01b1aae5a52e555284ca30cefe7">
  <xsd:schema xmlns:xsd="http://www.w3.org/2001/XMLSchema" xmlns:xs="http://www.w3.org/2001/XMLSchema" xmlns:p="http://schemas.microsoft.com/office/2006/metadata/properties" xmlns:ns2="92a8e6af-4002-40a0-a69a-326498427863" xmlns:ns3="293fe13a-4a1e-4596-9e46-0d8ff05c5593" targetNamespace="http://schemas.microsoft.com/office/2006/metadata/properties" ma:root="true" ma:fieldsID="30b2345a2f07b02b965d46517c1868c7" ns2:_="" ns3:_="">
    <xsd:import namespace="92a8e6af-4002-40a0-a69a-326498427863"/>
    <xsd:import namespace="293fe13a-4a1e-4596-9e46-0d8ff05c55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e6af-4002-40a0-a69a-3264984278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0CE92B-ED1B-4378-ABA9-87B5E9C67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8e6af-4002-40a0-a69a-326498427863"/>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A8EFAC-3407-46C5-89A1-82A6A6EE34A2}">
  <ds:schemaRef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293fe13a-4a1e-4596-9e46-0d8ff05c5593"/>
    <ds:schemaRef ds:uri="92a8e6af-4002-40a0-a69a-326498427863"/>
    <ds:schemaRef ds:uri="http://www.w3.org/XML/1998/namespace"/>
  </ds:schemaRefs>
</ds:datastoreItem>
</file>

<file path=customXml/itemProps3.xml><?xml version="1.0" encoding="utf-8"?>
<ds:datastoreItem xmlns:ds="http://schemas.openxmlformats.org/officeDocument/2006/customXml" ds:itemID="{922110A6-FF33-4289-97BA-D795B30DC4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2</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Vickey Rand</dc:creator>
  <cp:keywords/>
  <dc:description/>
  <cp:lastModifiedBy>Vickey Rand</cp:lastModifiedBy>
  <cp:revision>90</cp:revision>
  <cp:lastPrinted>2017-10-25T21:11:00Z</cp:lastPrinted>
  <dcterms:created xsi:type="dcterms:W3CDTF">2017-03-10T16:43:00Z</dcterms:created>
  <dcterms:modified xsi:type="dcterms:W3CDTF">2017-12-26T18:26:00Z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