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00" w:rsidRDefault="006F7200" w:rsidP="006F7200">
      <w:r>
        <w:t>VII. Application Review Information</w:t>
      </w:r>
    </w:p>
    <w:p w:rsidR="006F7200" w:rsidRDefault="006F7200" w:rsidP="006F7200">
      <w:r>
        <w:t xml:space="preserve">A. Criteria. </w:t>
      </w:r>
      <w:r w:rsidRPr="00821CF1">
        <w:rPr>
          <w:highlight w:val="magenta"/>
        </w:rPr>
        <w:t>CoC Consolidated Applications will be assessed on a 200-point scale.</w:t>
      </w:r>
      <w:r>
        <w:t xml:space="preserve"> Additionally, for purposes of the requirements of section 427 (b</w:t>
      </w:r>
      <w:proofErr w:type="gramStart"/>
      <w:r>
        <w:t>)(</w:t>
      </w:r>
      <w:proofErr w:type="gramEnd"/>
      <w:r>
        <w:t xml:space="preserve">1)(B)(iv)(II) of the Act. HUD considers “all relevant subpopulations” to mean families, youth, </w:t>
      </w:r>
      <w:proofErr w:type="gramStart"/>
      <w:r>
        <w:t>veterans</w:t>
      </w:r>
      <w:proofErr w:type="gramEnd"/>
      <w:r>
        <w:t>, persons fleeing domestic violence, persons who are unsheltered, and chronically homeless individuals and families.</w:t>
      </w:r>
    </w:p>
    <w:p w:rsidR="006F7200" w:rsidRDefault="006F7200" w:rsidP="006F7200">
      <w:r w:rsidRPr="00821CF1">
        <w:rPr>
          <w:highlight w:val="yellow"/>
        </w:rPr>
        <w:t>1. CoC Coordination and Engagement. HUD will award up to</w:t>
      </w:r>
      <w:r>
        <w:t xml:space="preserve"> </w:t>
      </w:r>
      <w:r w:rsidRPr="006F7200">
        <w:rPr>
          <w:highlight w:val="yellow"/>
        </w:rPr>
        <w:t>43 points</w:t>
      </w:r>
      <w:r>
        <w:t xml:space="preserve"> to </w:t>
      </w:r>
      <w:proofErr w:type="spellStart"/>
      <w:r>
        <w:t>CoCs</w:t>
      </w:r>
      <w:proofErr w:type="spellEnd"/>
      <w:r>
        <w:t xml:space="preserve"> that demonstrate coordination with other systems of care that serve homeless individuals and families, including sources of funding other than the CoC Program; an inclusive and outcome-oriented community process, including an organization structure(s) and decision-making process for developing and implementing a CoC strategy that is inclusive of representatives from both the private and public sectors, has a fair and impartial project review and selection process; and has created, maintained, and built upon a community-wide inventory of housing for homeless individuals and families. HUD will award:</w:t>
      </w:r>
    </w:p>
    <w:p w:rsidR="006F7200" w:rsidRDefault="006F7200" w:rsidP="006F7200">
      <w:pPr>
        <w:ind w:firstLine="720"/>
      </w:pPr>
      <w:r>
        <w:t xml:space="preserve">a. Inclusive Structure and Participation. </w:t>
      </w:r>
      <w:r w:rsidRPr="00821CF1">
        <w:rPr>
          <w:highlight w:val="green"/>
        </w:rPr>
        <w:t>Up to 4 points</w:t>
      </w:r>
      <w:r>
        <w:t xml:space="preserve"> to </w:t>
      </w:r>
      <w:proofErr w:type="spellStart"/>
      <w:r>
        <w:t>CoCs</w:t>
      </w:r>
      <w:proofErr w:type="spellEnd"/>
      <w:r>
        <w:t xml:space="preserve"> that demonstrate:</w:t>
      </w:r>
    </w:p>
    <w:p w:rsidR="006F7200" w:rsidRDefault="006F7200" w:rsidP="006F7200">
      <w:pPr>
        <w:ind w:left="1440"/>
      </w:pPr>
      <w:r>
        <w:t xml:space="preserve">(1) </w:t>
      </w:r>
      <w:proofErr w:type="gramStart"/>
      <w:r>
        <w:t>has</w:t>
      </w:r>
      <w:proofErr w:type="gramEnd"/>
      <w:r>
        <w:t xml:space="preserve"> an inclusive membership of a variety of stakeholders within the geographic area, not limited to organizations listed in 24 CFR 578.5(a);</w:t>
      </w:r>
      <w:r w:rsidR="00DA4C04">
        <w:t xml:space="preserve"> </w:t>
      </w:r>
      <w:r w:rsidR="00DA4C04" w:rsidRPr="00DA4C04">
        <w:rPr>
          <w:highlight w:val="yellow"/>
        </w:rPr>
        <w:t>1B-1</w:t>
      </w:r>
    </w:p>
    <w:p w:rsidR="006F7200" w:rsidRDefault="006F7200" w:rsidP="006F7200">
      <w:pPr>
        <w:ind w:left="1440"/>
      </w:pPr>
      <w:r>
        <w:t xml:space="preserve">(2) </w:t>
      </w:r>
      <w:proofErr w:type="gramStart"/>
      <w:r>
        <w:t>has</w:t>
      </w:r>
      <w:proofErr w:type="gramEnd"/>
      <w:r>
        <w:t xml:space="preserve"> an invitation process for new members to join and that invitation process is publicly available within the geographic area at least annually;</w:t>
      </w:r>
      <w:r w:rsidR="00DA4C04">
        <w:t xml:space="preserve">  </w:t>
      </w:r>
      <w:r w:rsidR="00DA4C04" w:rsidRPr="00DA4C04">
        <w:rPr>
          <w:highlight w:val="yellow"/>
        </w:rPr>
        <w:t>1B-2</w:t>
      </w:r>
    </w:p>
    <w:p w:rsidR="006F7200" w:rsidRDefault="006F7200" w:rsidP="006F7200">
      <w:pPr>
        <w:ind w:left="1440"/>
      </w:pPr>
      <w:r>
        <w:t xml:space="preserve">(3) </w:t>
      </w:r>
      <w:proofErr w:type="gramStart"/>
      <w:r>
        <w:t>solicits</w:t>
      </w:r>
      <w:proofErr w:type="gramEnd"/>
      <w:r>
        <w:t xml:space="preserve"> and considers opinions from individuals and organizations with knowledge of homelessness in the geographic area or an interest in preventing or ending homelessness in the geographic area; and</w:t>
      </w:r>
      <w:r w:rsidR="00DA4C04">
        <w:t xml:space="preserve"> </w:t>
      </w:r>
      <w:r w:rsidR="00DA4C04" w:rsidRPr="00DA4C04">
        <w:rPr>
          <w:highlight w:val="yellow"/>
        </w:rPr>
        <w:t>1B-1a</w:t>
      </w:r>
    </w:p>
    <w:p w:rsidR="006F7200" w:rsidRDefault="006F7200" w:rsidP="006F7200">
      <w:pPr>
        <w:ind w:left="1440"/>
      </w:pPr>
      <w:r>
        <w:t xml:space="preserve">(4) </w:t>
      </w:r>
      <w:proofErr w:type="gramStart"/>
      <w:r>
        <w:t>accepts</w:t>
      </w:r>
      <w:proofErr w:type="gramEnd"/>
      <w:r>
        <w:t xml:space="preserve"> and considers proposals from organizations that have not previously received CoC Program funding.</w:t>
      </w:r>
      <w:r w:rsidR="00DA4C04">
        <w:t xml:space="preserve"> </w:t>
      </w:r>
      <w:r w:rsidR="00DA4C04" w:rsidRPr="00DA4C04">
        <w:rPr>
          <w:highlight w:val="yellow"/>
        </w:rPr>
        <w:t>1B-3</w:t>
      </w:r>
    </w:p>
    <w:p w:rsidR="006F7200" w:rsidRDefault="006F7200" w:rsidP="00821CF1">
      <w:pPr>
        <w:ind w:left="1440"/>
      </w:pPr>
      <w:r>
        <w:t xml:space="preserve">Maximum points will be awarded to </w:t>
      </w:r>
      <w:proofErr w:type="spellStart"/>
      <w:r>
        <w:t>CoCs</w:t>
      </w:r>
      <w:proofErr w:type="spellEnd"/>
      <w:r>
        <w:t xml:space="preserve"> that clearly demonstrate participation from a broad array of stakeholders, not limited to organizations listed in 24 CFR 578.5(a), within the geographic area, including at a minimum, victim service organizations, youth providers, and homeless or formerly homeless individuals, and that a transparent process (e.g. communicated in a public manner such as on the CoC’s website) is in place for criteria (2) through (4) above.</w:t>
      </w:r>
    </w:p>
    <w:p w:rsidR="006F7200" w:rsidRDefault="006F7200" w:rsidP="006F7200">
      <w:pPr>
        <w:ind w:left="720"/>
      </w:pPr>
      <w:r>
        <w:t xml:space="preserve">b. Coordination with Federal, State, Local, Private, and Other Organizations. </w:t>
      </w:r>
      <w:r w:rsidRPr="00821CF1">
        <w:rPr>
          <w:highlight w:val="green"/>
        </w:rPr>
        <w:t>Up to 3 points</w:t>
      </w:r>
      <w:r>
        <w:t xml:space="preserve"> to </w:t>
      </w:r>
      <w:proofErr w:type="spellStart"/>
      <w:r>
        <w:t>CoCs</w:t>
      </w:r>
      <w:proofErr w:type="spellEnd"/>
      <w:r>
        <w:t xml:space="preserve"> that identify and coordinate with other organizations that serve individuals, families, unaccompanied youth, and persons fleeing domestic violence who are experiencing or at risk of homelessness. To receive maximum points, </w:t>
      </w:r>
      <w:proofErr w:type="spellStart"/>
      <w:r>
        <w:t>CoCs</w:t>
      </w:r>
      <w:proofErr w:type="spellEnd"/>
      <w:r>
        <w:t xml:space="preserve"> must demonstrate:</w:t>
      </w:r>
    </w:p>
    <w:p w:rsidR="006F7200" w:rsidRDefault="006F7200" w:rsidP="006F7200">
      <w:pPr>
        <w:ind w:left="1440"/>
      </w:pPr>
      <w:r>
        <w:t xml:space="preserve">(1) </w:t>
      </w:r>
      <w:proofErr w:type="gramStart"/>
      <w:r>
        <w:t>other</w:t>
      </w:r>
      <w:proofErr w:type="gramEnd"/>
      <w:r>
        <w:t xml:space="preserve"> federal, state, local, private, and other organizations are included in the planning and operation of projects; and</w:t>
      </w:r>
      <w:r w:rsidR="00DA4C04">
        <w:t xml:space="preserve"> </w:t>
      </w:r>
      <w:r w:rsidR="00DA4C04" w:rsidRPr="00DA4C04">
        <w:rPr>
          <w:highlight w:val="yellow"/>
        </w:rPr>
        <w:t>1C-1</w:t>
      </w:r>
    </w:p>
    <w:p w:rsidR="006F7200" w:rsidRDefault="006F7200" w:rsidP="006F7200">
      <w:pPr>
        <w:ind w:left="1440"/>
      </w:pPr>
      <w:r>
        <w:t xml:space="preserve">(2) </w:t>
      </w:r>
      <w:proofErr w:type="gramStart"/>
      <w:r>
        <w:t>they</w:t>
      </w:r>
      <w:proofErr w:type="gramEnd"/>
      <w:r>
        <w:t xml:space="preserve"> actively consult with ESG recipients in the planning and allocation of ESG funds and participate in the Consolidated Plan jurisdictions' process(s) by providing PIT and HIC data and ensuring local homelessness information is communicated and addressed in the Consolidated Plan updates.</w:t>
      </w:r>
      <w:r w:rsidR="00DA4C04">
        <w:t xml:space="preserve"> </w:t>
      </w:r>
      <w:r w:rsidR="00DA4C04" w:rsidRPr="00DA4C04">
        <w:rPr>
          <w:highlight w:val="yellow"/>
        </w:rPr>
        <w:t>1C-2</w:t>
      </w:r>
    </w:p>
    <w:p w:rsidR="006F7200" w:rsidRDefault="006F7200" w:rsidP="006F7200">
      <w:pPr>
        <w:ind w:left="720"/>
      </w:pPr>
      <w:r>
        <w:t xml:space="preserve">c. Addressing the Needs of Victims of Domestic Violence. </w:t>
      </w:r>
      <w:r w:rsidRPr="00821CF1">
        <w:rPr>
          <w:highlight w:val="green"/>
        </w:rPr>
        <w:t>Up to 3 points</w:t>
      </w:r>
      <w:r>
        <w:t xml:space="preserve"> to </w:t>
      </w:r>
      <w:proofErr w:type="spellStart"/>
      <w:r>
        <w:t>CoCs</w:t>
      </w:r>
      <w:proofErr w:type="spellEnd"/>
      <w:r>
        <w:t xml:space="preserve"> that demonstrate efforts to address the needs of persons fleeing domestic violence, including their </w:t>
      </w:r>
      <w:r>
        <w:lastRenderedPageBreak/>
        <w:t xml:space="preserve">families. </w:t>
      </w:r>
      <w:proofErr w:type="spellStart"/>
      <w:r>
        <w:t>CoCs</w:t>
      </w:r>
      <w:proofErr w:type="spellEnd"/>
      <w:r>
        <w:t xml:space="preserve"> must demonstrate how they ensure that persons fleeing domestic violence have access to housing and services that prioritize their safety and accommodate their unique circumstances and needs that include housing and services made available from: the CoC Program, ESG Program, Department of Justice programs, and Department of Health and Human Services programs. Further, the CoC must identify the efforts in place to increase access to safe housing and services for survivors of domestic violence and the efforts taken to ensure HUD-funded programs are adopting victim-centered practices in the provision of housing and services while maximizing client choice and maintaining the safety and confidentiality of program participants. Maximum points will be awarded to </w:t>
      </w:r>
      <w:proofErr w:type="spellStart"/>
      <w:r>
        <w:t>CoCs</w:t>
      </w:r>
      <w:proofErr w:type="spellEnd"/>
      <w:r>
        <w:t xml:space="preserve"> that demonstrate:</w:t>
      </w:r>
    </w:p>
    <w:p w:rsidR="006F7200" w:rsidRDefault="006F7200" w:rsidP="006F7200">
      <w:pPr>
        <w:ind w:left="1440"/>
      </w:pPr>
      <w:r>
        <w:t xml:space="preserve">(1) </w:t>
      </w:r>
      <w:proofErr w:type="gramStart"/>
      <w:r>
        <w:t>victim</w:t>
      </w:r>
      <w:proofErr w:type="gramEnd"/>
      <w:r>
        <w:t xml:space="preserve"> service providers are voting members of the CoC;</w:t>
      </w:r>
      <w:r w:rsidR="00DA4C04">
        <w:t xml:space="preserve"> </w:t>
      </w:r>
      <w:r w:rsidR="00DA4C04" w:rsidRPr="00DA4C04">
        <w:rPr>
          <w:highlight w:val="yellow"/>
        </w:rPr>
        <w:t>?1C</w:t>
      </w:r>
      <w:r w:rsidR="00543DA2">
        <w:rPr>
          <w:highlight w:val="yellow"/>
        </w:rPr>
        <w:t>-2.</w:t>
      </w:r>
      <w:r w:rsidR="00DA4C04" w:rsidRPr="00DA4C04">
        <w:rPr>
          <w:highlight w:val="yellow"/>
        </w:rPr>
        <w:t>1</w:t>
      </w:r>
    </w:p>
    <w:p w:rsidR="006F7200" w:rsidRDefault="006F7200" w:rsidP="006F7200">
      <w:pPr>
        <w:ind w:left="1440"/>
      </w:pPr>
      <w:r>
        <w:t>(2) regular training is provided to CoC providers and operators of coordinated entry processes that addresses best practices in serving survivors of domestic violence;</w:t>
      </w:r>
      <w:r w:rsidR="00DA4C04">
        <w:t xml:space="preserve"> </w:t>
      </w:r>
      <w:r w:rsidR="00DA4C04" w:rsidRPr="004102A3">
        <w:rPr>
          <w:highlight w:val="yellow"/>
        </w:rPr>
        <w:t>1C-3</w:t>
      </w:r>
      <w:r w:rsidR="004102A3" w:rsidRPr="004102A3">
        <w:rPr>
          <w:highlight w:val="yellow"/>
        </w:rPr>
        <w:t>a1</w:t>
      </w:r>
    </w:p>
    <w:p w:rsidR="006F7200" w:rsidRDefault="006F7200" w:rsidP="006F7200">
      <w:pPr>
        <w:ind w:left="1440"/>
      </w:pPr>
      <w:r>
        <w:t xml:space="preserve">(3) </w:t>
      </w:r>
      <w:proofErr w:type="gramStart"/>
      <w:r>
        <w:t>the</w:t>
      </w:r>
      <w:proofErr w:type="gramEnd"/>
      <w:r>
        <w:t xml:space="preserve"> CoC uses statistics and other available data about domestic violence, including aggregate data from comparable databases as appropriate, to assess the scope of community needs related to domestic violence and homelessness; and</w:t>
      </w:r>
      <w:r w:rsidR="004102A3">
        <w:t xml:space="preserve"> </w:t>
      </w:r>
      <w:r w:rsidR="004102A3" w:rsidRPr="004102A3">
        <w:rPr>
          <w:highlight w:val="yellow"/>
        </w:rPr>
        <w:t>1C-3a2</w:t>
      </w:r>
    </w:p>
    <w:p w:rsidR="006F7200" w:rsidRDefault="006F7200" w:rsidP="006F7200">
      <w:pPr>
        <w:ind w:left="1440"/>
      </w:pPr>
      <w:r>
        <w:t xml:space="preserve">(4) </w:t>
      </w:r>
      <w:proofErr w:type="gramStart"/>
      <w:r>
        <w:t>safety</w:t>
      </w:r>
      <w:proofErr w:type="gramEnd"/>
      <w:r>
        <w:t xml:space="preserve"> planning protocols are included in coordinated assessment.</w:t>
      </w:r>
      <w:r w:rsidR="004102A3">
        <w:t xml:space="preserve"> </w:t>
      </w:r>
      <w:r w:rsidR="00543DA2">
        <w:rPr>
          <w:highlight w:val="yellow"/>
        </w:rPr>
        <w:t>1C</w:t>
      </w:r>
      <w:r w:rsidR="004102A3" w:rsidRPr="004102A3">
        <w:rPr>
          <w:highlight w:val="yellow"/>
        </w:rPr>
        <w:t>-3a3</w:t>
      </w:r>
    </w:p>
    <w:p w:rsidR="006F7200" w:rsidRDefault="006F7200" w:rsidP="006F7200">
      <w:pPr>
        <w:ind w:left="720"/>
      </w:pPr>
      <w:r>
        <w:t xml:space="preserve">d. Addressing the Needs of LGBT Individuals. </w:t>
      </w:r>
      <w:r w:rsidRPr="00821CF1">
        <w:rPr>
          <w:highlight w:val="green"/>
        </w:rPr>
        <w:t>Up to 2 points</w:t>
      </w:r>
      <w:r>
        <w:t xml:space="preserve"> to </w:t>
      </w:r>
      <w:proofErr w:type="spellStart"/>
      <w:r>
        <w:t>CoCs</w:t>
      </w:r>
      <w:proofErr w:type="spellEnd"/>
      <w:r>
        <w:t xml:space="preserve"> that demonstrate efforts to address the needs of Lesbian, Gay, Bisexual, and Transgender (LGBT) individuals and their families experiencing homelessness. Maximum points will be awarded to </w:t>
      </w:r>
      <w:proofErr w:type="spellStart"/>
      <w:r>
        <w:t>CoCs</w:t>
      </w:r>
      <w:proofErr w:type="spellEnd"/>
      <w:r>
        <w:t xml:space="preserve"> that demonstrate LGBT serving organizations or advocacy groups are included in the CoC membership, </w:t>
      </w:r>
      <w:proofErr w:type="spellStart"/>
      <w:r>
        <w:t>CoCs</w:t>
      </w:r>
      <w:proofErr w:type="spellEnd"/>
      <w:r>
        <w:t xml:space="preserve"> regularly conduct training to providers about how to effectively implement the Equal Access to Housing in HUD Programs Regardless of Sexual Orientation or Gender Identity, including the Equal Access in Accordance with an Individual's Gender Identity in Community Planning and Development Programs, and have implemented a CoC-wide anti-discrimination policy.</w:t>
      </w:r>
      <w:r w:rsidR="004102A3">
        <w:t xml:space="preserve"> </w:t>
      </w:r>
      <w:r w:rsidR="004102A3" w:rsidRPr="004102A3">
        <w:rPr>
          <w:highlight w:val="yellow"/>
        </w:rPr>
        <w:t>1C-5</w:t>
      </w:r>
    </w:p>
    <w:p w:rsidR="006F7200" w:rsidRDefault="006F7200" w:rsidP="006F7200">
      <w:pPr>
        <w:ind w:left="720"/>
      </w:pPr>
      <w:proofErr w:type="gramStart"/>
      <w:r>
        <w:t>e</w:t>
      </w:r>
      <w:proofErr w:type="gramEnd"/>
      <w:r>
        <w:t xml:space="preserve">. Public Housing Agencies. </w:t>
      </w:r>
      <w:r w:rsidRPr="00821CF1">
        <w:rPr>
          <w:highlight w:val="green"/>
        </w:rPr>
        <w:t>Up to 5 points</w:t>
      </w:r>
      <w:r>
        <w:t xml:space="preserve"> to </w:t>
      </w:r>
      <w:proofErr w:type="spellStart"/>
      <w:r>
        <w:t>CoCs</w:t>
      </w:r>
      <w:proofErr w:type="spellEnd"/>
      <w:r>
        <w:t xml:space="preserve"> that demonstrate coordination with the Public Housing Agencies (PHAs) located in their geographic area that resulted in admission preferences for households experiencing homelessness. This may include a preference for formerly homeless households residing in projects for persons experiencing homelessness, project-basing vouchers for households experiencing homelessness, or demonstrating that new PHA admissions are households that are experiencing homelessness. Maximum points will be awarded to </w:t>
      </w:r>
      <w:proofErr w:type="spellStart"/>
      <w:r>
        <w:t>CoCs</w:t>
      </w:r>
      <w:proofErr w:type="spellEnd"/>
      <w:r>
        <w:t xml:space="preserve"> that demonstrate the PHA(s) in their geographic area have established admission preferences for households experiencing homelessness and that at least 20 percent of new admissions were homeless at admission.</w:t>
      </w:r>
      <w:r w:rsidR="004102A3">
        <w:t xml:space="preserve"> </w:t>
      </w:r>
      <w:r w:rsidR="004102A3" w:rsidRPr="004102A3">
        <w:rPr>
          <w:highlight w:val="yellow"/>
        </w:rPr>
        <w:t>1C-4</w:t>
      </w:r>
      <w:r w:rsidR="004102A3">
        <w:t xml:space="preserve"> &amp; </w:t>
      </w:r>
      <w:r w:rsidR="00543DA2">
        <w:rPr>
          <w:highlight w:val="yellow"/>
        </w:rPr>
        <w:t>1C</w:t>
      </w:r>
      <w:r w:rsidR="004102A3" w:rsidRPr="004102A3">
        <w:rPr>
          <w:highlight w:val="yellow"/>
        </w:rPr>
        <w:t>-4a</w:t>
      </w:r>
    </w:p>
    <w:p w:rsidR="006F7200" w:rsidRDefault="006F7200" w:rsidP="006F7200">
      <w:pPr>
        <w:ind w:left="720"/>
      </w:pPr>
      <w:r>
        <w:t xml:space="preserve">f. Discharge Planning. </w:t>
      </w:r>
      <w:r w:rsidRPr="00821CF1">
        <w:rPr>
          <w:highlight w:val="green"/>
        </w:rPr>
        <w:t>Up to 2 points</w:t>
      </w:r>
      <w:r>
        <w:t xml:space="preserve"> to </w:t>
      </w:r>
      <w:proofErr w:type="spellStart"/>
      <w:r>
        <w:t>CoCs</w:t>
      </w:r>
      <w:proofErr w:type="spellEnd"/>
      <w:r>
        <w:t xml:space="preserve"> that affirm coordination with and assistance in state or local discharge planning efforts to ensure that those discharged are not released directly to the streets, emergency shelters, or other McKinney-Vento Homeless Assistance programs. No points will be awarded if the CoC does not coordinate with or assist in state or local discharge planning efforts.</w:t>
      </w:r>
      <w:r w:rsidR="004102A3">
        <w:t xml:space="preserve"> </w:t>
      </w:r>
      <w:r w:rsidR="004102A3" w:rsidRPr="004102A3">
        <w:rPr>
          <w:highlight w:val="yellow"/>
        </w:rPr>
        <w:t>1D-1, 1D-1a &amp;1D-2</w:t>
      </w:r>
    </w:p>
    <w:p w:rsidR="006F7200" w:rsidRDefault="006F7200" w:rsidP="006F7200">
      <w:pPr>
        <w:ind w:left="720"/>
      </w:pPr>
      <w:r>
        <w:t xml:space="preserve">g. Housing First and Reducing Barriers. </w:t>
      </w:r>
      <w:r w:rsidRPr="00821CF1">
        <w:rPr>
          <w:highlight w:val="green"/>
        </w:rPr>
        <w:t>Up to 8 points</w:t>
      </w:r>
      <w:r>
        <w:t xml:space="preserve"> to </w:t>
      </w:r>
      <w:proofErr w:type="spellStart"/>
      <w:r>
        <w:t>CoCs</w:t>
      </w:r>
      <w:proofErr w:type="spellEnd"/>
      <w:r>
        <w:t xml:space="preserve"> that demonstrate at least 75 percent of all housing project applications (i.e., permanent housing, transitional housing, and safe haven) submitted under this NOFA are using the Housing First approach by providing low barrier projects that do not have service participation requirements or preconditions to entry </w:t>
      </w:r>
      <w:r>
        <w:lastRenderedPageBreak/>
        <w:t xml:space="preserve">and prioritize rapid placement and stabilization in permanent housing. This means the projects allow entry to program participants regardless of their income, current or past substance use, history of victimization (e.g., domestic violence, sexual assault, childhood abuse), and criminal record–with the exception of restrictions imposed by federal, state or local law or ordinance (e.g., restrictions on serving people who are listed on sex offender registries). Maximum points will be awarded to </w:t>
      </w:r>
      <w:proofErr w:type="spellStart"/>
      <w:r>
        <w:t>CoCs</w:t>
      </w:r>
      <w:proofErr w:type="spellEnd"/>
      <w:r>
        <w:t xml:space="preserve"> that demonstrate at least 75 percent of the housing project application(s) will use a Housing First approach. Any housing project application that indicates it will use a Housing First </w:t>
      </w:r>
      <w:proofErr w:type="gramStart"/>
      <w:r>
        <w:t>approach, that</w:t>
      </w:r>
      <w:proofErr w:type="gramEnd"/>
      <w:r>
        <w:t xml:space="preserve"> is awarded FY 2017 CoC Program funds will be required to operate as a Housing First project.</w:t>
      </w:r>
      <w:r w:rsidR="0000160D">
        <w:t xml:space="preserve"> </w:t>
      </w:r>
      <w:r w:rsidR="0000160D" w:rsidRPr="0000160D">
        <w:rPr>
          <w:highlight w:val="yellow"/>
        </w:rPr>
        <w:t>3B-3</w:t>
      </w:r>
      <w:r w:rsidR="00543DA2">
        <w:rPr>
          <w:highlight w:val="yellow"/>
        </w:rPr>
        <w:t>.4, 4A</w:t>
      </w:r>
      <w:r w:rsidR="0000160D" w:rsidRPr="0000160D">
        <w:rPr>
          <w:highlight w:val="yellow"/>
        </w:rPr>
        <w:t>-3</w:t>
      </w:r>
    </w:p>
    <w:p w:rsidR="006F7200" w:rsidRDefault="006F7200" w:rsidP="006F7200">
      <w:pPr>
        <w:ind w:left="720"/>
      </w:pPr>
      <w:r>
        <w:t xml:space="preserve">h. Street Outreach. </w:t>
      </w:r>
      <w:r w:rsidRPr="00821CF1">
        <w:rPr>
          <w:highlight w:val="green"/>
        </w:rPr>
        <w:t>Up to 3 points</w:t>
      </w:r>
      <w:r>
        <w:t xml:space="preserve"> to </w:t>
      </w:r>
      <w:proofErr w:type="spellStart"/>
      <w:r>
        <w:t>CoCs</w:t>
      </w:r>
      <w:proofErr w:type="spellEnd"/>
      <w:r>
        <w:t xml:space="preserve"> that demonstrate the CoC has implemented outreach procedures to ensure that all persons experiencing homelessness are aware of the housing and services providers within the CoC’s geographic area. Maximum points will be awarded to </w:t>
      </w:r>
      <w:proofErr w:type="spellStart"/>
      <w:r>
        <w:t>CoCs</w:t>
      </w:r>
      <w:proofErr w:type="spellEnd"/>
      <w:r>
        <w:t xml:space="preserve"> that demonstrate that the CoC’s street outreach covers 100 percent of the CoC’s geographic area, is conducted on a regular basis, and is tailored to reach those that are least likely to request assistance.</w:t>
      </w:r>
      <w:r w:rsidR="003B5D4D">
        <w:t xml:space="preserve"> </w:t>
      </w:r>
      <w:r w:rsidR="003B5D4D" w:rsidRPr="003B5D4D">
        <w:rPr>
          <w:highlight w:val="yellow"/>
        </w:rPr>
        <w:t>4A-4</w:t>
      </w:r>
    </w:p>
    <w:p w:rsidR="006F7200" w:rsidRDefault="006F7200" w:rsidP="006F7200">
      <w:pPr>
        <w:ind w:left="720"/>
      </w:pPr>
      <w:proofErr w:type="spellStart"/>
      <w:r>
        <w:t>i</w:t>
      </w:r>
      <w:proofErr w:type="spellEnd"/>
      <w:r>
        <w:t xml:space="preserve">. Affirmative Outreach. </w:t>
      </w:r>
      <w:r w:rsidRPr="00821CF1">
        <w:rPr>
          <w:highlight w:val="green"/>
        </w:rPr>
        <w:t>1 point</w:t>
      </w:r>
      <w:r>
        <w:t xml:space="preserve"> will be provided to </w:t>
      </w:r>
      <w:proofErr w:type="spellStart"/>
      <w:r>
        <w:t>CoCs</w:t>
      </w:r>
      <w:proofErr w:type="spellEnd"/>
      <w:r>
        <w:t xml:space="preserve"> that have implemented specific strategies that affirmatively further fair housing as detailed in 24 CFR 578.93(c) by describing the procedures used to market housing and supportive services to eligible persons regardless of race, color, national origin, religion, sex, gender identity, sexual orientation, age, familial status, or disability who are least likely to apply in the absence of special outreach. Additionally, the Collaborative Applicant must include the CoC’s efforts to provide effective communication to persons with disabilities and to ensure meaningful access to persons with limited English proficiency.</w:t>
      </w:r>
      <w:r w:rsidR="003B5D4D">
        <w:t xml:space="preserve"> </w:t>
      </w:r>
      <w:r w:rsidR="003B5D4D" w:rsidRPr="003B5D4D">
        <w:rPr>
          <w:highlight w:val="yellow"/>
        </w:rPr>
        <w:t>4A-5</w:t>
      </w:r>
    </w:p>
    <w:p w:rsidR="006F7200" w:rsidRDefault="006F7200" w:rsidP="006F7200">
      <w:pPr>
        <w:ind w:left="720"/>
      </w:pPr>
      <w:r>
        <w:t xml:space="preserve">j. Criminalization. </w:t>
      </w:r>
      <w:r w:rsidRPr="00821CF1">
        <w:rPr>
          <w:highlight w:val="green"/>
        </w:rPr>
        <w:t>Up to 2 points</w:t>
      </w:r>
      <w:r>
        <w:t xml:space="preserve"> to </w:t>
      </w:r>
      <w:proofErr w:type="spellStart"/>
      <w:r>
        <w:t>CoCs</w:t>
      </w:r>
      <w:proofErr w:type="spellEnd"/>
      <w:r>
        <w:t xml:space="preserve"> that implemented specific strategies to prevent criminalization of homelessness within the CoC’s geographic area. Maximum points will be awarded to </w:t>
      </w:r>
      <w:proofErr w:type="spellStart"/>
      <w:r>
        <w:t>CoCs</w:t>
      </w:r>
      <w:proofErr w:type="spellEnd"/>
      <w:r>
        <w:t xml:space="preserve"> that indicate specific strategies to ensure homelessness in not criminalized such as engaging or educating local policy makers, engaging or educating law enforcement, implementing community plans, or engaging or educating businesses.</w:t>
      </w:r>
      <w:r w:rsidR="0000160D">
        <w:t xml:space="preserve"> </w:t>
      </w:r>
      <w:r w:rsidR="0000160D" w:rsidRPr="0000160D">
        <w:rPr>
          <w:highlight w:val="yellow"/>
        </w:rPr>
        <w:t>1C-6</w:t>
      </w:r>
    </w:p>
    <w:p w:rsidR="006F7200" w:rsidRDefault="006F7200" w:rsidP="006F7200">
      <w:pPr>
        <w:ind w:left="720"/>
      </w:pPr>
      <w:r>
        <w:t xml:space="preserve">k. Rapid Rehousing. </w:t>
      </w:r>
      <w:r w:rsidRPr="00821CF1">
        <w:rPr>
          <w:highlight w:val="green"/>
        </w:rPr>
        <w:t>Up to 8 points</w:t>
      </w:r>
      <w:r>
        <w:t xml:space="preserve"> to </w:t>
      </w:r>
      <w:proofErr w:type="spellStart"/>
      <w:r>
        <w:t>CoCs</w:t>
      </w:r>
      <w:proofErr w:type="spellEnd"/>
      <w:r>
        <w:t xml:space="preserve"> that demonstrate an increase, if needed, in the number of rapid rehousing beds available as recorded on the 2017 HIC data submitted to HUD. Maximum points will be awarded to </w:t>
      </w:r>
      <w:proofErr w:type="spellStart"/>
      <w:r>
        <w:t>CoCs</w:t>
      </w:r>
      <w:proofErr w:type="spellEnd"/>
      <w:r>
        <w:t xml:space="preserve"> that demonstrate an increase in the number of rapid rehousing beds in the CoC geographic area as reported in HDX or that can clearly demonstrate the number of rapid rehousing beds in the CoC’s geographic area sufficiently meets the need for this type of housing. If a CoC has sufficient rapid rehousing beds to accommodate the need for rapid rehousing in its geographic area, it may receive maximum points by demonstrating it has sufficient rapid rehousing beds, which will be verified against information in the 2017 PIT and HIC data reported in HDX.</w:t>
      </w:r>
      <w:r w:rsidR="003B5D4D">
        <w:t xml:space="preserve"> </w:t>
      </w:r>
      <w:r w:rsidR="003B5D4D" w:rsidRPr="003B5D4D">
        <w:rPr>
          <w:highlight w:val="yellow"/>
        </w:rPr>
        <w:t>3B-2.</w:t>
      </w:r>
      <w:r w:rsidR="003B5D4D" w:rsidRPr="003A0E73">
        <w:rPr>
          <w:highlight w:val="yellow"/>
        </w:rPr>
        <w:t>2,</w:t>
      </w:r>
      <w:r w:rsidR="003A0E73" w:rsidRPr="003A0E73">
        <w:rPr>
          <w:highlight w:val="yellow"/>
        </w:rPr>
        <w:t xml:space="preserve"> 3B-2.3, 3B-2.4,</w:t>
      </w:r>
      <w:r w:rsidR="003B5D4D" w:rsidRPr="003A0E73">
        <w:rPr>
          <w:highlight w:val="yellow"/>
        </w:rPr>
        <w:t xml:space="preserve"> 4A-2</w:t>
      </w:r>
      <w:r w:rsidR="003A0E73" w:rsidRPr="003A0E73">
        <w:rPr>
          <w:highlight w:val="yellow"/>
        </w:rPr>
        <w:t xml:space="preserve"> 4A-3, 4A-4, 4A-6</w:t>
      </w:r>
    </w:p>
    <w:p w:rsidR="006F7200" w:rsidRDefault="006F7200" w:rsidP="006F7200">
      <w:pPr>
        <w:ind w:left="720"/>
      </w:pPr>
      <w:r>
        <w:t xml:space="preserve">l. Mainstream Benefits and Other Assistance. </w:t>
      </w:r>
      <w:r w:rsidRPr="00821CF1">
        <w:rPr>
          <w:highlight w:val="green"/>
        </w:rPr>
        <w:t>Up to 2 points</w:t>
      </w:r>
      <w:r>
        <w:t xml:space="preserve"> to </w:t>
      </w:r>
      <w:proofErr w:type="spellStart"/>
      <w:r>
        <w:t>CoCs</w:t>
      </w:r>
      <w:proofErr w:type="spellEnd"/>
      <w:r>
        <w:t xml:space="preserve"> that demonstrate CoC Program funded projects supplement CoC Program funds with resources from other public and private sources, including mainstream programs that assist program participants in applying for and receiving mainstream benefits. Maximum points will be awarded to </w:t>
      </w:r>
      <w:proofErr w:type="spellStart"/>
      <w:r>
        <w:t>CoCs</w:t>
      </w:r>
      <w:proofErr w:type="spellEnd"/>
      <w:r>
        <w:t xml:space="preserve"> that demonstrate systematically keeping program staff up-to-date regarding mainstream resources available for program participants (e.g., Food Stamps, SSI, TANF, substance abuse programs), collaboration with healthcare organizations to assist program participants with enrolling in health insurance, </w:t>
      </w:r>
      <w:r>
        <w:lastRenderedPageBreak/>
        <w:t>and provide assistance with the effective utilization of Medicaid and other benefits.</w:t>
      </w:r>
      <w:r w:rsidR="003A0E73">
        <w:t xml:space="preserve"> </w:t>
      </w:r>
      <w:r w:rsidR="003A0E73" w:rsidRPr="003A0E73">
        <w:rPr>
          <w:highlight w:val="yellow"/>
        </w:rPr>
        <w:t>3A-5, 4A-1, 4A-1a</w:t>
      </w:r>
    </w:p>
    <w:p w:rsidR="006F7200" w:rsidRDefault="006F7200" w:rsidP="006F7200">
      <w:r w:rsidRPr="00821CF1">
        <w:rPr>
          <w:highlight w:val="yellow"/>
        </w:rPr>
        <w:t>2. Project Ranking, Review, and Capacity. HUD will award up to 29 points</w:t>
      </w:r>
      <w:r>
        <w:t xml:space="preserve"> to </w:t>
      </w:r>
      <w:proofErr w:type="spellStart"/>
      <w:r>
        <w:t>CoCs</w:t>
      </w:r>
      <w:proofErr w:type="spellEnd"/>
      <w:r>
        <w:t xml:space="preserve"> that demonstrate the existence of a coordinated, inclusive, and outcome-oriented community process for the solicitation, objective review, ranking, and selection of project applications, and a process by which renewal projects are reviewed for performance and compliance with 24 CFR part 578. HUD may award maximum points for the Ranking and Selection Process in this section to </w:t>
      </w:r>
      <w:proofErr w:type="spellStart"/>
      <w:r>
        <w:t>CoCs</w:t>
      </w:r>
      <w:proofErr w:type="spellEnd"/>
      <w:r>
        <w:t xml:space="preserve"> with project(s) that have been covered by a major disaster, as declared by the President under Title IV of the Robert T. Stafford </w:t>
      </w:r>
      <w:proofErr w:type="gramStart"/>
      <w:r>
        <w:t>Act, that</w:t>
      </w:r>
      <w:proofErr w:type="gramEnd"/>
      <w:r>
        <w:t xml:space="preserve"> occurred in the 12 months prior to the application deadline for the CoC Consolidated Application for FY 2017 funds. To receive consideration for such a major disaster, the Collaborative Applicant must notify HUD in writing before the application deadline, and must include information about how the disaster affected the Collaborative Applicant’s ability to meet the criteria in 2.d. below. The notification must be sent to Norm </w:t>
      </w:r>
      <w:proofErr w:type="spellStart"/>
      <w:r>
        <w:t>Suchar</w:t>
      </w:r>
      <w:proofErr w:type="spellEnd"/>
      <w:r>
        <w:t xml:space="preserve">, Director, Office of Special Needs Assistance Programs, at CoCDisaster@hud.gov. See Section I.2. </w:t>
      </w:r>
      <w:proofErr w:type="gramStart"/>
      <w:r>
        <w:t>of</w:t>
      </w:r>
      <w:proofErr w:type="gramEnd"/>
      <w:r>
        <w:t xml:space="preserve"> this NOFA for additional information. HUD will award:</w:t>
      </w:r>
    </w:p>
    <w:p w:rsidR="006F7200" w:rsidRDefault="006F7200" w:rsidP="006F7200">
      <w:pPr>
        <w:ind w:left="720"/>
      </w:pPr>
      <w:r>
        <w:t xml:space="preserve">a. Objective Criteria and Past Performance. </w:t>
      </w:r>
      <w:r w:rsidRPr="00821CF1">
        <w:rPr>
          <w:highlight w:val="green"/>
        </w:rPr>
        <w:t>Up to 18 points</w:t>
      </w:r>
      <w:r>
        <w:t xml:space="preserve"> to </w:t>
      </w:r>
      <w:proofErr w:type="spellStart"/>
      <w:r>
        <w:t>CoCs</w:t>
      </w:r>
      <w:proofErr w:type="spellEnd"/>
      <w:r>
        <w:t xml:space="preserve"> for the extent to which they demonstrate the use of established objective criteria and, where available, past performance data to review project applications requesting CoC Program funding. Maximum points will be awarded to </w:t>
      </w:r>
      <w:proofErr w:type="spellStart"/>
      <w:r>
        <w:t>CoCs</w:t>
      </w:r>
      <w:proofErr w:type="spellEnd"/>
      <w:r>
        <w:t xml:space="preserve"> that attach written documentation that demonstrates the process the CoC used to rank and select project applications for the FY 2017 CoC Program Competition:</w:t>
      </w:r>
    </w:p>
    <w:p w:rsidR="006F7200" w:rsidRDefault="006F7200" w:rsidP="006F7200">
      <w:pPr>
        <w:ind w:left="1440"/>
      </w:pPr>
      <w:r>
        <w:t xml:space="preserve">(1) </w:t>
      </w:r>
      <w:proofErr w:type="gramStart"/>
      <w:r>
        <w:t>used</w:t>
      </w:r>
      <w:proofErr w:type="gramEnd"/>
      <w:r>
        <w:t xml:space="preserve"> objective criteria (e.g., cost effectiveness, performance data, type of population served, or type of housing proposed);</w:t>
      </w:r>
      <w:r w:rsidR="0060643D">
        <w:t xml:space="preserve"> </w:t>
      </w:r>
      <w:r w:rsidR="0060643D" w:rsidRPr="0060643D">
        <w:rPr>
          <w:highlight w:val="yellow"/>
        </w:rPr>
        <w:t>1E-1</w:t>
      </w:r>
    </w:p>
    <w:p w:rsidR="006F7200" w:rsidRDefault="006F7200" w:rsidP="006F7200">
      <w:pPr>
        <w:ind w:left="1440"/>
      </w:pPr>
      <w:r>
        <w:t xml:space="preserve">(2) </w:t>
      </w:r>
      <w:proofErr w:type="gramStart"/>
      <w:r>
        <w:t>included</w:t>
      </w:r>
      <w:proofErr w:type="gramEnd"/>
      <w:r>
        <w:t xml:space="preserve"> at least one factor related to achieving positive housing outcomes (e.g., exits to permanent housing destinations); and</w:t>
      </w:r>
      <w:r w:rsidR="0060643D">
        <w:t xml:space="preserve"> </w:t>
      </w:r>
      <w:r w:rsidR="0060643D" w:rsidRPr="0060643D">
        <w:rPr>
          <w:highlight w:val="yellow"/>
        </w:rPr>
        <w:t>1E-1</w:t>
      </w:r>
    </w:p>
    <w:p w:rsidR="006F7200" w:rsidRDefault="006F7200" w:rsidP="006F7200">
      <w:pPr>
        <w:ind w:left="1440"/>
      </w:pPr>
      <w:r>
        <w:t xml:space="preserve">(3) </w:t>
      </w:r>
      <w:proofErr w:type="gramStart"/>
      <w:r>
        <w:t>included</w:t>
      </w:r>
      <w:proofErr w:type="gramEnd"/>
      <w:r>
        <w:t xml:space="preserve"> a specific method for evaluating projects submitted by victim service providers that utilized data generated from a comparable database and considered the unique circumstances of these providers and the population they serve.</w:t>
      </w:r>
      <w:r w:rsidR="00C270B6">
        <w:t xml:space="preserve"> </w:t>
      </w:r>
      <w:r w:rsidR="00C270B6" w:rsidRPr="00C270B6">
        <w:rPr>
          <w:highlight w:val="yellow"/>
        </w:rPr>
        <w:t>1E-1</w:t>
      </w:r>
    </w:p>
    <w:p w:rsidR="006F7200" w:rsidRDefault="006F7200" w:rsidP="006F7200">
      <w:pPr>
        <w:ind w:left="720"/>
      </w:pPr>
      <w:r>
        <w:t xml:space="preserve">b. Severity of Needs and Performance. </w:t>
      </w:r>
      <w:r w:rsidRPr="00821CF1">
        <w:rPr>
          <w:highlight w:val="green"/>
        </w:rPr>
        <w:t>Up to 4 points</w:t>
      </w:r>
      <w:r>
        <w:t xml:space="preserve"> for the extent to which </w:t>
      </w:r>
      <w:proofErr w:type="spellStart"/>
      <w:r>
        <w:t>CoCs</w:t>
      </w:r>
      <w:proofErr w:type="spellEnd"/>
      <w:r>
        <w:t xml:space="preserve"> consider the severity of needs and vulnerabilities experienced by program participants in their project ranking and selection process. Needs and vulnerabilities include: low or no income, current or past substance abuse, a history of victimization (e.g., domestic violence, sexual assault, childhood abuse), criminal histories, and chronic homelessness. Maximum points will be awarded to </w:t>
      </w:r>
      <w:proofErr w:type="spellStart"/>
      <w:r>
        <w:t>CoCs</w:t>
      </w:r>
      <w:proofErr w:type="spellEnd"/>
      <w:r>
        <w:t xml:space="preserve"> that describe the specific needs and vulnerabilities the CoC considers and exactly how the CoC takes them into account during its ranking and selection process.</w:t>
      </w:r>
      <w:r w:rsidR="00C270B6">
        <w:t xml:space="preserve"> </w:t>
      </w:r>
      <w:r w:rsidR="00C270B6" w:rsidRPr="00C270B6">
        <w:rPr>
          <w:highlight w:val="yellow"/>
        </w:rPr>
        <w:t>1E-2</w:t>
      </w:r>
      <w:r w:rsidR="00C270B6">
        <w:t xml:space="preserve"> </w:t>
      </w:r>
    </w:p>
    <w:p w:rsidR="006F7200" w:rsidRDefault="006F7200" w:rsidP="006F7200">
      <w:pPr>
        <w:ind w:left="720"/>
      </w:pPr>
      <w:r>
        <w:t>c. Reallocating Projects</w:t>
      </w:r>
      <w:r w:rsidRPr="00821CF1">
        <w:rPr>
          <w:highlight w:val="green"/>
        </w:rPr>
        <w:t>. Up to 4 points</w:t>
      </w:r>
      <w:r>
        <w:t xml:space="preserve"> to </w:t>
      </w:r>
      <w:proofErr w:type="spellStart"/>
      <w:r>
        <w:t>CoCs</w:t>
      </w:r>
      <w:proofErr w:type="spellEnd"/>
      <w:r>
        <w:t xml:space="preserve"> that demonstrate the ability </w:t>
      </w:r>
      <w:proofErr w:type="spellStart"/>
      <w:r>
        <w:t>toreallocate</w:t>
      </w:r>
      <w:proofErr w:type="spellEnd"/>
      <w:r>
        <w:t xml:space="preserve"> lower performing projects to create new higher performing projects. To receive maximum points, the CoC must:</w:t>
      </w:r>
    </w:p>
    <w:p w:rsidR="006F7200" w:rsidRDefault="006F7200" w:rsidP="006F7200">
      <w:pPr>
        <w:ind w:left="1440"/>
      </w:pPr>
      <w:r>
        <w:t xml:space="preserve">(1) </w:t>
      </w:r>
      <w:proofErr w:type="gramStart"/>
      <w:r>
        <w:t>demonstrate</w:t>
      </w:r>
      <w:proofErr w:type="gramEnd"/>
      <w:r>
        <w:t xml:space="preserve"> the CoC actively encourages new and existing providers to apply for new projects through reallocation; or</w:t>
      </w:r>
      <w:r w:rsidR="00C270B6">
        <w:t xml:space="preserve"> </w:t>
      </w:r>
      <w:r w:rsidR="00C270B6" w:rsidRPr="00C270B6">
        <w:rPr>
          <w:highlight w:val="yellow"/>
        </w:rPr>
        <w:t>1E-4</w:t>
      </w:r>
      <w:r w:rsidR="00C270B6">
        <w:rPr>
          <w:highlight w:val="yellow"/>
        </w:rPr>
        <w:t>.</w:t>
      </w:r>
      <w:r w:rsidR="00C270B6" w:rsidRPr="00C270B6">
        <w:rPr>
          <w:highlight w:val="yellow"/>
        </w:rPr>
        <w:t>1</w:t>
      </w:r>
    </w:p>
    <w:p w:rsidR="006F7200" w:rsidRDefault="006F7200" w:rsidP="006F7200">
      <w:pPr>
        <w:ind w:left="1440"/>
      </w:pPr>
      <w:r>
        <w:t xml:space="preserve">(2) </w:t>
      </w:r>
      <w:proofErr w:type="gramStart"/>
      <w:r>
        <w:t>have</w:t>
      </w:r>
      <w:proofErr w:type="gramEnd"/>
      <w:r>
        <w:t xml:space="preserve"> cumulatively reallocated at least 20 percent of the CoC’s ARD between the FY 2013 and FY 2017 CoC Program Competitions.</w:t>
      </w:r>
      <w:r w:rsidR="00C270B6">
        <w:t xml:space="preserve"> </w:t>
      </w:r>
      <w:r w:rsidR="00C270B6" w:rsidRPr="00C270B6">
        <w:rPr>
          <w:highlight w:val="yellow"/>
        </w:rPr>
        <w:t>1E-4.2</w:t>
      </w:r>
    </w:p>
    <w:p w:rsidR="006F7200" w:rsidRDefault="006F7200" w:rsidP="006F7200">
      <w:pPr>
        <w:ind w:left="720"/>
      </w:pPr>
      <w:r>
        <w:lastRenderedPageBreak/>
        <w:t>d. Ranking and Selection Process</w:t>
      </w:r>
      <w:r w:rsidRPr="00821CF1">
        <w:rPr>
          <w:highlight w:val="green"/>
        </w:rPr>
        <w:t>. Up to 3 points</w:t>
      </w:r>
      <w:r>
        <w:t xml:space="preserve"> to </w:t>
      </w:r>
      <w:proofErr w:type="spellStart"/>
      <w:r>
        <w:t>CoCs</w:t>
      </w:r>
      <w:proofErr w:type="spellEnd"/>
      <w:r>
        <w:t xml:space="preserve"> that demonstrate the use of an objective ranking and selection process for project applications that is publicly announced by the CoC. Maximum points will be awarded to </w:t>
      </w:r>
      <w:proofErr w:type="spellStart"/>
      <w:r>
        <w:t>CoCs</w:t>
      </w:r>
      <w:proofErr w:type="spellEnd"/>
      <w:r>
        <w:t xml:space="preserve"> that:</w:t>
      </w:r>
    </w:p>
    <w:p w:rsidR="006F7200" w:rsidRDefault="006F7200" w:rsidP="006F7200">
      <w:pPr>
        <w:ind w:left="1440"/>
      </w:pPr>
      <w:r>
        <w:t xml:space="preserve">(1) </w:t>
      </w:r>
      <w:proofErr w:type="gramStart"/>
      <w:r>
        <w:t>demonstrate</w:t>
      </w:r>
      <w:proofErr w:type="gramEnd"/>
      <w:r>
        <w:t xml:space="preserve"> they used an objective ranking and selection process for all projects (new and renewal) that was made publicly available to potential project applicants; and</w:t>
      </w:r>
      <w:r w:rsidR="00C270B6">
        <w:t xml:space="preserve"> </w:t>
      </w:r>
      <w:r w:rsidR="00C270B6">
        <w:rPr>
          <w:highlight w:val="yellow"/>
        </w:rPr>
        <w:t>1E-1</w:t>
      </w:r>
    </w:p>
    <w:p w:rsidR="006F7200" w:rsidRDefault="006F7200" w:rsidP="006F7200">
      <w:pPr>
        <w:ind w:left="1440"/>
      </w:pPr>
      <w:r>
        <w:t xml:space="preserve">(2) </w:t>
      </w:r>
      <w:proofErr w:type="gramStart"/>
      <w:r>
        <w:t>post</w:t>
      </w:r>
      <w:proofErr w:type="gramEnd"/>
      <w:r>
        <w:t xml:space="preserve"> on their website, at least 2 days before the application submission deadline, all parts of the CoC Consolidated Application, including the CoC Application attachments and the Priority Listing, and notify community members and key stakeholders that the Consolidated Application is available. </w:t>
      </w:r>
      <w:proofErr w:type="spellStart"/>
      <w:r>
        <w:t>CoCs</w:t>
      </w:r>
      <w:proofErr w:type="spellEnd"/>
      <w:r>
        <w:t xml:space="preserve"> that do not have a website must post this information to a partner website within the CoC (e.g., a city or county website).</w:t>
      </w:r>
      <w:r w:rsidR="00C270B6">
        <w:t xml:space="preserve"> </w:t>
      </w:r>
      <w:r w:rsidR="00C270B6" w:rsidRPr="00C270B6">
        <w:rPr>
          <w:highlight w:val="yellow"/>
        </w:rPr>
        <w:t>1E-3</w:t>
      </w:r>
    </w:p>
    <w:p w:rsidR="006F7200" w:rsidRDefault="006F7200" w:rsidP="006F7200">
      <w:pPr>
        <w:ind w:left="1440"/>
      </w:pPr>
      <w:r>
        <w:t>A CoC will receive 0 points for this selection criteria if the CoC failed to establish a deadline for project applications that is no later than 30 days before the FY 2017 CoC Program Competition application deadline of September 28, 2017.</w:t>
      </w:r>
    </w:p>
    <w:p w:rsidR="006F7200" w:rsidRDefault="006F7200" w:rsidP="006F7200">
      <w:pPr>
        <w:ind w:left="1440"/>
      </w:pPr>
      <w:r>
        <w:t>A CoC will receive 0 points for this selection criteria if the CoC did not notify project applicants, in writing outside of e-snaps, who submitted their project applications to the CoC by the CoC-established deadline, whether their project application(s) will be accepted and ranked, rejected, or reduced on the CoC Priority Listing within 15 days of the FY 2017 CoC Program Competition application deadline. Where a project application is being rejected or reduced, the CoC must indicate the reason(s) for the rejection or reduction.</w:t>
      </w:r>
      <w:r w:rsidR="007109FB">
        <w:t xml:space="preserve"> </w:t>
      </w:r>
      <w:r w:rsidR="007109FB" w:rsidRPr="007109FB">
        <w:rPr>
          <w:highlight w:val="yellow"/>
        </w:rPr>
        <w:t>?1E-5</w:t>
      </w:r>
      <w:proofErr w:type="gramStart"/>
      <w:r w:rsidR="007109FB">
        <w:rPr>
          <w:highlight w:val="yellow"/>
        </w:rPr>
        <w:t>, ?</w:t>
      </w:r>
      <w:proofErr w:type="gramEnd"/>
      <w:r w:rsidR="007109FB">
        <w:rPr>
          <w:highlight w:val="yellow"/>
        </w:rPr>
        <w:t>1E-5a</w:t>
      </w:r>
    </w:p>
    <w:p w:rsidR="006F7200" w:rsidRDefault="006F7200" w:rsidP="006F7200">
      <w:r w:rsidRPr="00821CF1">
        <w:rPr>
          <w:highlight w:val="yellow"/>
        </w:rPr>
        <w:t>3. Homeless Management Information System. HUD will award up to 13 points</w:t>
      </w:r>
      <w:r>
        <w:t xml:space="preserve"> to </w:t>
      </w:r>
      <w:proofErr w:type="spellStart"/>
      <w:r>
        <w:t>CoCs</w:t>
      </w:r>
      <w:proofErr w:type="spellEnd"/>
      <w:r>
        <w:t xml:space="preserve"> that demonstrate the existence of a functioning HMIS that facilitates the collection of information on homelessness using residential and other homeless services and stores that data in an electronic format. HUD will award:</w:t>
      </w:r>
    </w:p>
    <w:p w:rsidR="006F7200" w:rsidRDefault="006F7200" w:rsidP="006F7200">
      <w:pPr>
        <w:ind w:left="720"/>
      </w:pPr>
      <w:r>
        <w:t xml:space="preserve">a. HMIS Governance. </w:t>
      </w:r>
      <w:r w:rsidRPr="00821CF1">
        <w:rPr>
          <w:highlight w:val="green"/>
        </w:rPr>
        <w:t>Up to 2 points</w:t>
      </w:r>
      <w:r>
        <w:t xml:space="preserve"> to </w:t>
      </w:r>
      <w:proofErr w:type="spellStart"/>
      <w:r>
        <w:t>CoCs</w:t>
      </w:r>
      <w:proofErr w:type="spellEnd"/>
      <w:r>
        <w:t xml:space="preserve"> that have in place policies and procedures and a written agreement with the HMIS Lead including a Memorandum of Understanding (MOU) or Memorandum of Agreement (MOA) that defines the roles and responsibilities of the CoC and HMIS Lead necessary to meet the HMIS requirements established by HUD. These policies may be incorporated directly into the governance charter or in a separate document and incorporated by reference into the governance charter. To receive maximum points, the CoC and the HMIS Lead must have a written agreement, a MOU, or a MOA that defines the roles and responsibilities of the CoC and the HMIS Lead. A copy of the sections of the governance charter addressing the HMIS policies and procedures (or the document incorporated by reference) and the agreement or memorandum must be attached to the CoC Application in e-snaps.</w:t>
      </w:r>
      <w:r w:rsidR="00C270B6">
        <w:t xml:space="preserve"> </w:t>
      </w:r>
      <w:r w:rsidR="004C507F" w:rsidRPr="004C507F">
        <w:rPr>
          <w:highlight w:val="yellow"/>
        </w:rPr>
        <w:t>2A-1, 2A-1a</w:t>
      </w:r>
      <w:r w:rsidR="004C507F">
        <w:t xml:space="preserve">, </w:t>
      </w:r>
      <w:r w:rsidR="004C507F" w:rsidRPr="004C507F">
        <w:rPr>
          <w:highlight w:val="yellow"/>
        </w:rPr>
        <w:t>Attachments</w:t>
      </w:r>
    </w:p>
    <w:p w:rsidR="006F7200" w:rsidRDefault="006F7200" w:rsidP="006F7200">
      <w:pPr>
        <w:ind w:left="720"/>
      </w:pPr>
      <w:r>
        <w:t xml:space="preserve">b. HMIS Policy and Procedures. </w:t>
      </w:r>
      <w:r w:rsidRPr="00821CF1">
        <w:rPr>
          <w:highlight w:val="green"/>
        </w:rPr>
        <w:t>Up to 2 points</w:t>
      </w:r>
      <w:r>
        <w:t xml:space="preserve"> to </w:t>
      </w:r>
      <w:proofErr w:type="spellStart"/>
      <w:r>
        <w:t>CoCs</w:t>
      </w:r>
      <w:proofErr w:type="spellEnd"/>
      <w:r>
        <w:t xml:space="preserve"> that adopt and follow an HMIS Policy and Procedures Manual that includes signed agreements that specify the roles and responsibilities of the HMIS Lead. A copy of the HMIS Policy and Procedures must be attached to the CoC Application in e-snaps</w:t>
      </w:r>
      <w:r w:rsidR="00042296">
        <w:t xml:space="preserve"> </w:t>
      </w:r>
      <w:r w:rsidR="00042296" w:rsidRPr="004C507F">
        <w:rPr>
          <w:highlight w:val="yellow"/>
        </w:rPr>
        <w:t>2A-1, 2A-1a</w:t>
      </w:r>
      <w:r w:rsidR="00042296">
        <w:t xml:space="preserve">, </w:t>
      </w:r>
      <w:r w:rsidR="00042296" w:rsidRPr="004C507F">
        <w:rPr>
          <w:highlight w:val="yellow"/>
        </w:rPr>
        <w:t>Attachments</w:t>
      </w:r>
    </w:p>
    <w:p w:rsidR="006F7200" w:rsidRDefault="006F7200" w:rsidP="006F7200">
      <w:pPr>
        <w:ind w:left="720"/>
      </w:pPr>
      <w:proofErr w:type="gramStart"/>
      <w:r>
        <w:lastRenderedPageBreak/>
        <w:t>c</w:t>
      </w:r>
      <w:proofErr w:type="gramEnd"/>
      <w:r>
        <w:t xml:space="preserve">. Housing Inventory Count (HIC). </w:t>
      </w:r>
      <w:r w:rsidRPr="00821CF1">
        <w:rPr>
          <w:highlight w:val="green"/>
        </w:rPr>
        <w:t>1 point</w:t>
      </w:r>
      <w:r>
        <w:t xml:space="preserve"> to </w:t>
      </w:r>
      <w:proofErr w:type="spellStart"/>
      <w:r>
        <w:t>CoCs</w:t>
      </w:r>
      <w:proofErr w:type="spellEnd"/>
      <w:r>
        <w:t xml:space="preserve"> that submitted 2017 HIC data in HDX by the submission deadline of 7:59:59 PM Eastern Time on May 5, 2017. If a CoC did not submit 2017 HIC data by the deadline, the CoC will receive 0 points</w:t>
      </w:r>
      <w:r w:rsidRPr="004C507F">
        <w:rPr>
          <w:highlight w:val="yellow"/>
        </w:rPr>
        <w:t>.</w:t>
      </w:r>
      <w:r w:rsidR="004C507F" w:rsidRPr="004C507F">
        <w:rPr>
          <w:highlight w:val="yellow"/>
        </w:rPr>
        <w:t xml:space="preserve"> 2A-7</w:t>
      </w:r>
    </w:p>
    <w:p w:rsidR="006F7200" w:rsidRDefault="006F7200" w:rsidP="006F7200">
      <w:pPr>
        <w:ind w:left="720"/>
      </w:pPr>
      <w:r>
        <w:t xml:space="preserve">d. Bed Coverage. </w:t>
      </w:r>
      <w:r w:rsidRPr="0084286C">
        <w:rPr>
          <w:highlight w:val="green"/>
        </w:rPr>
        <w:t>Up to 6 points</w:t>
      </w:r>
      <w:r>
        <w:t xml:space="preserve"> to </w:t>
      </w:r>
      <w:proofErr w:type="spellStart"/>
      <w:r>
        <w:t>CoCs</w:t>
      </w:r>
      <w:proofErr w:type="spellEnd"/>
      <w:r>
        <w:t xml:space="preserve"> that recorded 85 percent or higher bed coverage rate in the CoC’s geographic area. </w:t>
      </w:r>
      <w:proofErr w:type="spellStart"/>
      <w:r>
        <w:t>CoCs</w:t>
      </w:r>
      <w:proofErr w:type="spellEnd"/>
      <w:r>
        <w:t xml:space="preserve"> will be assessed on the bed coverage rate for the housing types within the CoC that includes: emergency shelter, safe haven, transitional housing, rapid rehousing, permanent supportive housing, and other permanent housing. The bed coverage rate is the number of HMIS participating beds divided by the number of year-round beds dedicated to homeless persons in the geographic area covered by the CoC. Beds funded by victim service providers must not be included in this calculation. To receive partial credit, if the bed coverage rate is below 85 percent, the CoC must provide clear steps on how it intends to increase this percentage over the next 12 months.</w:t>
      </w:r>
      <w:r w:rsidR="004C507F">
        <w:t xml:space="preserve"> </w:t>
      </w:r>
      <w:r w:rsidR="004C507F" w:rsidRPr="004C507F">
        <w:rPr>
          <w:highlight w:val="yellow"/>
        </w:rPr>
        <w:t>2A-5, 2A-5a</w:t>
      </w:r>
      <w:r w:rsidR="004C507F" w:rsidRPr="00161AEE">
        <w:rPr>
          <w:highlight w:val="yellow"/>
        </w:rPr>
        <w:t>, 2C-2a, 3B-1, 3B-1.1, 4A-6</w:t>
      </w:r>
    </w:p>
    <w:p w:rsidR="006F7200" w:rsidRDefault="006F7200" w:rsidP="006F7200">
      <w:pPr>
        <w:ind w:left="720"/>
      </w:pPr>
      <w:r>
        <w:t>A CoC that merged between the FY 2016 CoC Program Competition final funding announcement and the deadline of the FY 2017 CoC Program Registration process will have its bed coverage rate calculated based on the higher of:</w:t>
      </w:r>
    </w:p>
    <w:p w:rsidR="006F7200" w:rsidRDefault="006F7200" w:rsidP="006F7200">
      <w:pPr>
        <w:ind w:left="1440"/>
      </w:pPr>
      <w:r>
        <w:t xml:space="preserve">(1) </w:t>
      </w:r>
      <w:proofErr w:type="gramStart"/>
      <w:r>
        <w:t>the</w:t>
      </w:r>
      <w:proofErr w:type="gramEnd"/>
      <w:r>
        <w:t xml:space="preserve"> bed coverage rate reported by the combined, newly merged CoC in the FY 2017 Housing Inventory Count (HIC); or</w:t>
      </w:r>
    </w:p>
    <w:p w:rsidR="006F7200" w:rsidRDefault="006F7200" w:rsidP="006F7200">
      <w:pPr>
        <w:ind w:left="1440"/>
      </w:pPr>
      <w:r>
        <w:t xml:space="preserve">(2) </w:t>
      </w:r>
      <w:proofErr w:type="gramStart"/>
      <w:r>
        <w:t>the</w:t>
      </w:r>
      <w:proofErr w:type="gramEnd"/>
      <w:r>
        <w:t xml:space="preserve"> highest bed coverage rate reported by one of the merged </w:t>
      </w:r>
      <w:proofErr w:type="spellStart"/>
      <w:r>
        <w:t>CoCs</w:t>
      </w:r>
      <w:proofErr w:type="spellEnd"/>
      <w:r>
        <w:t xml:space="preserve"> as constituted before the merger in the FY 2016 CoC Program Competition.</w:t>
      </w:r>
    </w:p>
    <w:p w:rsidR="006F7200" w:rsidRDefault="006F7200" w:rsidP="006F7200">
      <w:pPr>
        <w:ind w:left="1440"/>
      </w:pPr>
      <w:r>
        <w:t xml:space="preserve">To receive consideration as a merged CoC, the new CoC must contain all of the geographic area of at least two </w:t>
      </w:r>
      <w:proofErr w:type="spellStart"/>
      <w:r>
        <w:t>CoCs</w:t>
      </w:r>
      <w:proofErr w:type="spellEnd"/>
      <w:r>
        <w:t xml:space="preserve"> that submitted applications in the FY 2016 CoC Program Competition.</w:t>
      </w:r>
    </w:p>
    <w:p w:rsidR="006F7200" w:rsidRDefault="006F7200" w:rsidP="006F7200">
      <w:pPr>
        <w:ind w:left="720"/>
      </w:pPr>
      <w:r>
        <w:t xml:space="preserve">e. Annual Homeless Assessment Report (AHAR) Submission. HUD will award </w:t>
      </w:r>
      <w:r w:rsidRPr="0084286C">
        <w:rPr>
          <w:highlight w:val="green"/>
        </w:rPr>
        <w:t>up to 2 points</w:t>
      </w:r>
      <w:r>
        <w:t xml:space="preserve"> to </w:t>
      </w:r>
      <w:proofErr w:type="spellStart"/>
      <w:r>
        <w:t>CoCs</w:t>
      </w:r>
      <w:proofErr w:type="spellEnd"/>
      <w:r>
        <w:t xml:space="preserve"> that demonstrate all tables submitted to HUD were accepted and used in the last AHAR.</w:t>
      </w:r>
      <w:r w:rsidR="00161AEE">
        <w:t xml:space="preserve"> </w:t>
      </w:r>
      <w:r w:rsidR="00161AEE" w:rsidRPr="00161AEE">
        <w:rPr>
          <w:highlight w:val="yellow"/>
        </w:rPr>
        <w:t>2A-6</w:t>
      </w:r>
    </w:p>
    <w:p w:rsidR="006F7200" w:rsidRDefault="006F7200" w:rsidP="006F7200">
      <w:r w:rsidRPr="0084286C">
        <w:rPr>
          <w:highlight w:val="yellow"/>
        </w:rPr>
        <w:t>4. Point-in-Time Count. HUD will award up to 6 points</w:t>
      </w:r>
      <w:r>
        <w:t xml:space="preserve"> to </w:t>
      </w:r>
      <w:proofErr w:type="spellStart"/>
      <w:r>
        <w:t>CoCs</w:t>
      </w:r>
      <w:proofErr w:type="spellEnd"/>
      <w:r>
        <w:t xml:space="preserve"> related to the collection, use, and submission of data from the 2017 PIT count. HUD will compare 2017 PIT count data to 2016 PIT count data. If a CoC did not conduct an unsheltered count in 2016, HUD will rely on the CoC’s 2015 unsheltered PIT count data. HUD will award:</w:t>
      </w:r>
    </w:p>
    <w:p w:rsidR="006F7200" w:rsidRDefault="006F7200" w:rsidP="006F7200">
      <w:pPr>
        <w:ind w:left="720"/>
      </w:pPr>
      <w:proofErr w:type="gramStart"/>
      <w:r>
        <w:t>a</w:t>
      </w:r>
      <w:proofErr w:type="gramEnd"/>
      <w:r>
        <w:t xml:space="preserve">. PIT Count and Data Submission. </w:t>
      </w:r>
      <w:r w:rsidRPr="0084286C">
        <w:rPr>
          <w:highlight w:val="green"/>
        </w:rPr>
        <w:t>Up to 3 points</w:t>
      </w:r>
      <w:r>
        <w:t xml:space="preserve"> to </w:t>
      </w:r>
      <w:proofErr w:type="spellStart"/>
      <w:r>
        <w:t>CoCs</w:t>
      </w:r>
      <w:proofErr w:type="spellEnd"/>
      <w:r>
        <w:t xml:space="preserve"> that conducted a PIT count and reported the data in HDX. Maximum points will be awarded to </w:t>
      </w:r>
      <w:proofErr w:type="spellStart"/>
      <w:r>
        <w:t>CoCs</w:t>
      </w:r>
      <w:proofErr w:type="spellEnd"/>
      <w:r>
        <w:t xml:space="preserve"> that:</w:t>
      </w:r>
    </w:p>
    <w:p w:rsidR="006F7200" w:rsidRDefault="006F7200" w:rsidP="006F7200">
      <w:pPr>
        <w:ind w:left="1440"/>
      </w:pPr>
      <w:r>
        <w:t xml:space="preserve">(1) </w:t>
      </w:r>
      <w:proofErr w:type="gramStart"/>
      <w:r>
        <w:t>conducted</w:t>
      </w:r>
      <w:proofErr w:type="gramEnd"/>
      <w:r>
        <w:t xml:space="preserve"> a sheltered and unsheltered PIT count during the last 10 days in January, 2017, or if an exception was provided by HUD, during the time period agreed upon by the CoC and HUD; and</w:t>
      </w:r>
      <w:r w:rsidR="00161AEE">
        <w:t xml:space="preserve"> </w:t>
      </w:r>
      <w:r w:rsidR="00D062A3" w:rsidRPr="00D062A3">
        <w:rPr>
          <w:highlight w:val="yellow"/>
        </w:rPr>
        <w:t>2B-1</w:t>
      </w:r>
    </w:p>
    <w:p w:rsidR="006F7200" w:rsidRDefault="006F7200" w:rsidP="00161AEE">
      <w:pPr>
        <w:ind w:left="1440"/>
      </w:pPr>
      <w:r>
        <w:t xml:space="preserve">(2) </w:t>
      </w:r>
      <w:proofErr w:type="gramStart"/>
      <w:r>
        <w:t>submitted</w:t>
      </w:r>
      <w:proofErr w:type="gramEnd"/>
      <w:r>
        <w:t xml:space="preserve"> the 2017 PIT data in HDX by 7:59:59 PM Eastern Time on May 5, 2017.</w:t>
      </w:r>
      <w:r w:rsidR="00161AEE">
        <w:t xml:space="preserve">  </w:t>
      </w:r>
      <w:r w:rsidR="00D062A3">
        <w:rPr>
          <w:highlight w:val="yellow"/>
        </w:rPr>
        <w:t>2B-2</w:t>
      </w:r>
    </w:p>
    <w:p w:rsidR="006F7200" w:rsidRDefault="006F7200" w:rsidP="006F7200">
      <w:pPr>
        <w:ind w:left="720"/>
      </w:pPr>
      <w:r>
        <w:t xml:space="preserve">b. Effectively Counting Youth. </w:t>
      </w:r>
      <w:r w:rsidRPr="0084286C">
        <w:rPr>
          <w:highlight w:val="green"/>
        </w:rPr>
        <w:t>Up to 3 points</w:t>
      </w:r>
      <w:r>
        <w:t xml:space="preserve"> to </w:t>
      </w:r>
      <w:proofErr w:type="spellStart"/>
      <w:r>
        <w:t>CoCs</w:t>
      </w:r>
      <w:proofErr w:type="spellEnd"/>
      <w:r>
        <w:t xml:space="preserve"> that implemented specific measures to identify youth in their PIT count. To receive maximum points, </w:t>
      </w:r>
      <w:proofErr w:type="spellStart"/>
      <w:r>
        <w:t>CoCs</w:t>
      </w:r>
      <w:proofErr w:type="spellEnd"/>
      <w:r>
        <w:t xml:space="preserve"> must demonstrate that during the planning process they engaged stakeholders that serve homeless youth; involved </w:t>
      </w:r>
      <w:r>
        <w:lastRenderedPageBreak/>
        <w:t>homeless youth; and worked with stakeholders to select locations where homeless youth are most likely to be identified.</w:t>
      </w:r>
      <w:r w:rsidR="00BA77A8">
        <w:t xml:space="preserve"> </w:t>
      </w:r>
      <w:r w:rsidR="007109FB" w:rsidRPr="007109FB">
        <w:rPr>
          <w:highlight w:val="yellow"/>
        </w:rPr>
        <w:t>?2C-1</w:t>
      </w:r>
      <w:proofErr w:type="gramStart"/>
      <w:r w:rsidR="007109FB" w:rsidRPr="007109FB">
        <w:rPr>
          <w:highlight w:val="yellow"/>
        </w:rPr>
        <w:t>,</w:t>
      </w:r>
      <w:r w:rsidR="007109FB">
        <w:t xml:space="preserve"> </w:t>
      </w:r>
      <w:r w:rsidR="007109FB" w:rsidRPr="000B7425">
        <w:rPr>
          <w:highlight w:val="yellow"/>
        </w:rPr>
        <w:t>?</w:t>
      </w:r>
      <w:proofErr w:type="gramEnd"/>
      <w:r w:rsidR="007109FB" w:rsidRPr="000B7425">
        <w:rPr>
          <w:highlight w:val="yellow"/>
        </w:rPr>
        <w:t>2C-</w:t>
      </w:r>
      <w:r w:rsidR="000B7425" w:rsidRPr="000B7425">
        <w:rPr>
          <w:highlight w:val="yellow"/>
        </w:rPr>
        <w:t>4, 2C-4a,</w:t>
      </w:r>
      <w:r w:rsidR="000B7425">
        <w:t xml:space="preserve"> </w:t>
      </w:r>
      <w:r w:rsidR="007109FB">
        <w:t xml:space="preserve"> </w:t>
      </w:r>
      <w:r w:rsidR="00BA77A8" w:rsidRPr="00BA77A8">
        <w:rPr>
          <w:highlight w:val="yellow"/>
        </w:rPr>
        <w:t>2C-5, 2C-5a</w:t>
      </w:r>
      <w:r w:rsidR="003C2A62">
        <w:t xml:space="preserve">, </w:t>
      </w:r>
      <w:r w:rsidR="003C2A62" w:rsidRPr="003C2A62">
        <w:rPr>
          <w:highlight w:val="yellow"/>
        </w:rPr>
        <w:t>2C-6</w:t>
      </w:r>
    </w:p>
    <w:p w:rsidR="006F7200" w:rsidRDefault="006F7200" w:rsidP="006F7200">
      <w:r w:rsidRPr="0084286C">
        <w:rPr>
          <w:highlight w:val="yellow"/>
        </w:rPr>
        <w:t>5. System Performance. HUD will award up to 49 points</w:t>
      </w:r>
      <w:r>
        <w:t xml:space="preserve"> for CoC system-wide performance related to reducing homelessness within the CoC’s defined geographic area as reported to HUD via HDX by comparing FY 2016 information to FY 2015 information unless noted otherwise for each measure. HUD may award a minimum of 24.5 out of the 49 points available in this section to </w:t>
      </w:r>
      <w:proofErr w:type="spellStart"/>
      <w:r>
        <w:t>CoCs</w:t>
      </w:r>
      <w:proofErr w:type="spellEnd"/>
      <w:r>
        <w:t xml:space="preserve"> with projects that have been affected by a major disaster, as declared by the President under Title IV of the Robert T. Stafford Act that occurred in the 12 months prior to the application deadline for the CoC Consolidated Application for FY 2017 funds, see Section I.2. </w:t>
      </w:r>
      <w:proofErr w:type="gramStart"/>
      <w:r>
        <w:t>of</w:t>
      </w:r>
      <w:proofErr w:type="gramEnd"/>
      <w:r>
        <w:t xml:space="preserve"> this NOFA for additional information. Those </w:t>
      </w:r>
      <w:proofErr w:type="spellStart"/>
      <w:r>
        <w:t>CoCs</w:t>
      </w:r>
      <w:proofErr w:type="spellEnd"/>
      <w:r>
        <w:t xml:space="preserve"> in covered areas must notify HUD in writing prior to the close of this FY 2017 CoC Program Competition. Send written notification to Norm </w:t>
      </w:r>
      <w:proofErr w:type="spellStart"/>
      <w:r>
        <w:t>Suchar</w:t>
      </w:r>
      <w:proofErr w:type="spellEnd"/>
      <w:r>
        <w:t>, Director, Office of Special Needs Assistance Programs, at CoCDisaster@hud.gov. This written notification must demonstrate that the disaster affected the performance of one or more projects in the CoC. HUD will award:</w:t>
      </w:r>
    </w:p>
    <w:p w:rsidR="006F7200" w:rsidRDefault="006F7200" w:rsidP="006F7200">
      <w:pPr>
        <w:ind w:left="720"/>
      </w:pPr>
      <w:r>
        <w:t xml:space="preserve">a. Reducing the Number of Homeless Individuals and Families. </w:t>
      </w:r>
      <w:r w:rsidRPr="0084286C">
        <w:rPr>
          <w:highlight w:val="green"/>
        </w:rPr>
        <w:t>Up to 10 points</w:t>
      </w:r>
      <w:r>
        <w:t xml:space="preserve"> to </w:t>
      </w:r>
      <w:proofErr w:type="spellStart"/>
      <w:r>
        <w:t>CoCs</w:t>
      </w:r>
      <w:proofErr w:type="spellEnd"/>
      <w:r>
        <w:t xml:space="preserve"> that demonstrate an overall reduction of at least 5 percent in the number of individuals and families who experience homelessness. The information provided for both sheltered and unsheltered homeless based on the criteria below will be verified against the information submitted to the HDX. To receive maximum points:</w:t>
      </w:r>
    </w:p>
    <w:p w:rsidR="006F7200" w:rsidRDefault="006F7200" w:rsidP="006F7200">
      <w:pPr>
        <w:ind w:left="1440"/>
      </w:pPr>
      <w:r>
        <w:t xml:space="preserve">(1) the CoC will receive </w:t>
      </w:r>
      <w:r w:rsidRPr="0084286C">
        <w:rPr>
          <w:highlight w:val="cyan"/>
        </w:rPr>
        <w:t>up to 2 of the 10 points</w:t>
      </w:r>
      <w:r>
        <w:t xml:space="preserve"> for demonstrating a decrease in the number of sheltered homeless individuals and families in the 2017 PIT count compared to the 2016 PIT count as recorded in HDX, excluding emergency shelter beds added for a Presidentially declared disaster and recorded as such in HDX;</w:t>
      </w:r>
      <w:r w:rsidR="000D547C">
        <w:t xml:space="preserve"> </w:t>
      </w:r>
      <w:r w:rsidR="000D547C" w:rsidRPr="000D547C">
        <w:rPr>
          <w:highlight w:val="yellow"/>
        </w:rPr>
        <w:t>HDX</w:t>
      </w:r>
    </w:p>
    <w:p w:rsidR="006F7200" w:rsidRDefault="006F7200" w:rsidP="006F7200">
      <w:pPr>
        <w:ind w:left="1440"/>
      </w:pPr>
      <w:r>
        <w:t xml:space="preserve">(2) </w:t>
      </w:r>
      <w:proofErr w:type="gramStart"/>
      <w:r>
        <w:t>the</w:t>
      </w:r>
      <w:proofErr w:type="gramEnd"/>
      <w:r>
        <w:t xml:space="preserve"> CoC will receive </w:t>
      </w:r>
      <w:r w:rsidRPr="0084286C">
        <w:rPr>
          <w:highlight w:val="cyan"/>
        </w:rPr>
        <w:t>up to 5 of the 10 points</w:t>
      </w:r>
      <w:r>
        <w:t xml:space="preserve"> for demonstrating a decrease in the number of unsheltered homeless individuals and families in the 2017 PIT count compared to the previous PIT count as recorded in HDX; and</w:t>
      </w:r>
      <w:r w:rsidR="000D547C">
        <w:t xml:space="preserve"> </w:t>
      </w:r>
      <w:r w:rsidR="000D547C" w:rsidRPr="000D547C">
        <w:rPr>
          <w:highlight w:val="yellow"/>
        </w:rPr>
        <w:t>HDX</w:t>
      </w:r>
    </w:p>
    <w:p w:rsidR="006F7200" w:rsidRDefault="006F7200" w:rsidP="006F7200">
      <w:pPr>
        <w:ind w:left="1440"/>
      </w:pPr>
      <w:r>
        <w:t xml:space="preserve">(3) </w:t>
      </w:r>
      <w:proofErr w:type="gramStart"/>
      <w:r>
        <w:t>the</w:t>
      </w:r>
      <w:proofErr w:type="gramEnd"/>
      <w:r>
        <w:t xml:space="preserve"> CoC will receive </w:t>
      </w:r>
      <w:r w:rsidRPr="0084286C">
        <w:rPr>
          <w:highlight w:val="cyan"/>
        </w:rPr>
        <w:t>up to 3 of the 10 points</w:t>
      </w:r>
      <w:r>
        <w:t xml:space="preserve"> for demonstrating a decrease in the combined number of sheltered and unsheltered homeless individuals and families in the 2017 PIT count compared to the previous PIT count as recorded in HDX.</w:t>
      </w:r>
      <w:r w:rsidR="000D547C">
        <w:t xml:space="preserve"> </w:t>
      </w:r>
      <w:r w:rsidR="000D547C" w:rsidRPr="000D547C">
        <w:rPr>
          <w:highlight w:val="yellow"/>
        </w:rPr>
        <w:t>HDX</w:t>
      </w:r>
    </w:p>
    <w:p w:rsidR="006F7200" w:rsidRDefault="006F7200" w:rsidP="00821CF1">
      <w:pPr>
        <w:ind w:left="1440"/>
      </w:pPr>
      <w:r>
        <w:t>For the purposes of this measure, HUD will exclude from the calculation changes in youth homelessness that are the result of specific measures implemented to more effectively count youth (e.g., engaging youth and youth-serving providers to help identify known hang-outs for homeless youth, utilizing better methods and outreach methods geared to homeless youth) as described in Section VII.A.6.b of this NOFA in the 2017 PIT Count.</w:t>
      </w:r>
    </w:p>
    <w:p w:rsidR="0084286C" w:rsidRDefault="006F7200" w:rsidP="00821CF1">
      <w:pPr>
        <w:ind w:left="720"/>
      </w:pPr>
      <w:r>
        <w:t xml:space="preserve">b. Reduction in the Number of First Time Homeless. </w:t>
      </w:r>
      <w:r w:rsidRPr="0084286C">
        <w:rPr>
          <w:highlight w:val="green"/>
        </w:rPr>
        <w:t>Up to 3 points</w:t>
      </w:r>
      <w:r>
        <w:t xml:space="preserve"> to </w:t>
      </w:r>
      <w:proofErr w:type="spellStart"/>
      <w:r>
        <w:t>CoCs</w:t>
      </w:r>
      <w:proofErr w:type="spellEnd"/>
      <w:r>
        <w:t xml:space="preserve"> that demonstrate how they are working to reduce the number of individuals and families who become homeless for the first time. Maximum points will be awarded to </w:t>
      </w:r>
      <w:proofErr w:type="spellStart"/>
      <w:r>
        <w:t>CoCs</w:t>
      </w:r>
      <w:proofErr w:type="spellEnd"/>
      <w:r>
        <w:t xml:space="preserve"> that demonstrate a reduction in the number of first-time homeless as reported in HDX, identify the process by which risk factors are identified in its community for becoming homeless for the first time, describe the strategies in place to address individuals and families at risk of becoming homeless, and identify the organization or position that is responsible for overseeing the </w:t>
      </w:r>
      <w:proofErr w:type="spellStart"/>
      <w:r>
        <w:t>CoCs</w:t>
      </w:r>
      <w:proofErr w:type="spellEnd"/>
      <w:r>
        <w:t xml:space="preserve"> strategy to reduce or end the number of people experiencing homelessness for the first time. </w:t>
      </w:r>
      <w:r w:rsidR="000D547C">
        <w:t xml:space="preserve"> </w:t>
      </w:r>
      <w:r w:rsidR="000D547C" w:rsidRPr="000D547C">
        <w:rPr>
          <w:highlight w:val="yellow"/>
        </w:rPr>
        <w:t>3A-1</w:t>
      </w:r>
    </w:p>
    <w:p w:rsidR="006F7200" w:rsidRDefault="006F7200" w:rsidP="00821CF1">
      <w:pPr>
        <w:ind w:left="720"/>
      </w:pPr>
      <w:r>
        <w:lastRenderedPageBreak/>
        <w:t xml:space="preserve">c. Length of Time Homeless. </w:t>
      </w:r>
      <w:r w:rsidRPr="0084286C">
        <w:rPr>
          <w:highlight w:val="green"/>
        </w:rPr>
        <w:t>Up to 11 points</w:t>
      </w:r>
      <w:r>
        <w:t xml:space="preserve"> to </w:t>
      </w:r>
      <w:proofErr w:type="spellStart"/>
      <w:r>
        <w:t>CoCs</w:t>
      </w:r>
      <w:proofErr w:type="spellEnd"/>
      <w:r>
        <w:t xml:space="preserve"> that reduce the length of time individuals and families remain homeless and specifically describe how they will reduce the length of time individuals and families remain homeless. Maximum points will be awarded to </w:t>
      </w:r>
      <w:proofErr w:type="spellStart"/>
      <w:r>
        <w:t>CoCs</w:t>
      </w:r>
      <w:proofErr w:type="spellEnd"/>
      <w:r>
        <w:t xml:space="preserve"> that demonstrate a reduction in the length of time individuals and families remain homeless in the CoC's geographic area as reported in HDX, describe the CoC’s efforts to reduce the length of time individuals and families remain homeless, describe how the CoC identifies and houses individuals and families with the longest length of time homeless, and identify the organization or position that is responsible for overseeing the CoC’s strategy to reduce the length of time individuals and families remain homeless.</w:t>
      </w:r>
      <w:r w:rsidR="000D547C">
        <w:t xml:space="preserve"> </w:t>
      </w:r>
      <w:r w:rsidR="000D547C" w:rsidRPr="000D547C">
        <w:rPr>
          <w:highlight w:val="yellow"/>
        </w:rPr>
        <w:t>3A-2</w:t>
      </w:r>
    </w:p>
    <w:p w:rsidR="006F7200" w:rsidRDefault="006F7200" w:rsidP="00821CF1">
      <w:pPr>
        <w:ind w:left="720"/>
      </w:pPr>
      <w:r>
        <w:t xml:space="preserve">d. Successful Permanent Housing Placement or Retention. </w:t>
      </w:r>
      <w:r w:rsidRPr="0084286C">
        <w:rPr>
          <w:highlight w:val="green"/>
        </w:rPr>
        <w:t>Up to 9 points</w:t>
      </w:r>
      <w:r>
        <w:t xml:space="preserve"> to </w:t>
      </w:r>
      <w:proofErr w:type="spellStart"/>
      <w:r>
        <w:t>CoCs</w:t>
      </w:r>
      <w:proofErr w:type="spellEnd"/>
      <w:r>
        <w:t xml:space="preserve"> that demonstrate an increase in the rate in which individuals and families move to permanent housing destinations or continue to reside in permanent housing projects and describe how the CoC will improve their rate of permanent housing placement. Maximum points will be awarded to </w:t>
      </w:r>
      <w:proofErr w:type="spellStart"/>
      <w:r>
        <w:t>CoCs</w:t>
      </w:r>
      <w:proofErr w:type="spellEnd"/>
      <w:r>
        <w:t xml:space="preserve"> that demonstrate an increase in the rate at which persons exit to permanent housing destinations (and retain permanent housing if they are currently in a permanent housing project) as reported in HDX and describe steps the CoC is taking to improve permanent housing placement and retention.</w:t>
      </w:r>
      <w:r w:rsidR="000D547C">
        <w:t xml:space="preserve"> </w:t>
      </w:r>
      <w:r w:rsidR="000D547C" w:rsidRPr="000D547C">
        <w:rPr>
          <w:highlight w:val="yellow"/>
        </w:rPr>
        <w:t>3A-3</w:t>
      </w:r>
    </w:p>
    <w:p w:rsidR="006F7200" w:rsidRDefault="006F7200" w:rsidP="00821CF1">
      <w:pPr>
        <w:ind w:left="720"/>
      </w:pPr>
      <w:r>
        <w:t xml:space="preserve">e. Returns to Homelessness. </w:t>
      </w:r>
      <w:r w:rsidRPr="0084286C">
        <w:rPr>
          <w:highlight w:val="green"/>
        </w:rPr>
        <w:t>Up to 6 points</w:t>
      </w:r>
      <w:r>
        <w:t xml:space="preserve"> to </w:t>
      </w:r>
      <w:proofErr w:type="spellStart"/>
      <w:r>
        <w:t>CoCs</w:t>
      </w:r>
      <w:proofErr w:type="spellEnd"/>
      <w:r>
        <w:t xml:space="preserve"> that reduce the extent to which individuals and families leaving homelessness experience additional spells of homelessness and specifically describe how the number of individuals and families who return to homelessness will be reduced in the community. Maximum points will be awarded to </w:t>
      </w:r>
      <w:proofErr w:type="spellStart"/>
      <w:r>
        <w:t>CoCs</w:t>
      </w:r>
      <w:proofErr w:type="spellEnd"/>
      <w:r>
        <w:t xml:space="preserve"> that demonstrate a reduction in the rate at which persons that exited to permanent housing destinations experienced additional spells of homelessness as reported in HDX, describe the strategies that have been implemented to identify individuals and families who return to homelessness, describe the strategies that will reduce returns to homelessness, and identify the organization or position that is responsible for overseeing the CoC’s strategy to reduce returns to homelessness.</w:t>
      </w:r>
      <w:r w:rsidR="00A70ABB">
        <w:t xml:space="preserve"> </w:t>
      </w:r>
      <w:r w:rsidR="00A70ABB" w:rsidRPr="00A70ABB">
        <w:rPr>
          <w:highlight w:val="yellow"/>
        </w:rPr>
        <w:t>3A-4</w:t>
      </w:r>
    </w:p>
    <w:p w:rsidR="006F7200" w:rsidRDefault="006F7200" w:rsidP="00821CF1">
      <w:pPr>
        <w:ind w:left="720"/>
      </w:pPr>
      <w:r>
        <w:t xml:space="preserve">f. Jobs and Income Growth. </w:t>
      </w:r>
      <w:r w:rsidRPr="0084286C">
        <w:rPr>
          <w:highlight w:val="green"/>
        </w:rPr>
        <w:t>Up to 4 points</w:t>
      </w:r>
      <w:r>
        <w:t xml:space="preserve"> to </w:t>
      </w:r>
      <w:proofErr w:type="spellStart"/>
      <w:r>
        <w:t>CoCs</w:t>
      </w:r>
      <w:proofErr w:type="spellEnd"/>
      <w:r>
        <w:t xml:space="preserve"> that increase program participants’ incomes from employment and non-employment cash sources and describe specific strategies to assist program participants’ incomes. Maximum points will be awarded to </w:t>
      </w:r>
      <w:proofErr w:type="spellStart"/>
      <w:r>
        <w:t>CoCs</w:t>
      </w:r>
      <w:proofErr w:type="spellEnd"/>
      <w:r>
        <w:t xml:space="preserve"> that demonstrate an increase in income from employment and non-employment cash sources for persons served in CoC Program-funded projects as reported in HDX, describe the strategies that have been implemented to access employment and mainstream benefits, describe </w:t>
      </w:r>
      <w:r w:rsidR="00821CF1">
        <w:t>how CoC Program-funded projects</w:t>
      </w:r>
      <w:r w:rsidR="00A70ABB">
        <w:t xml:space="preserve"> </w:t>
      </w:r>
      <w:r>
        <w:t>have been assisted to implement the strategies, describe how the CoC is working with mainstream employment organizations to help individuals and families experiencing homelessness increase their cash income, and identify the organization or position that is responsible for overseeing the CoC’s strategy to increase jobs and income growth from employment and non-employment cash sources, including mainstream employment organizations.</w:t>
      </w:r>
      <w:r w:rsidR="00A70ABB">
        <w:t xml:space="preserve"> </w:t>
      </w:r>
      <w:r w:rsidR="00A70ABB" w:rsidRPr="001A2467">
        <w:rPr>
          <w:highlight w:val="yellow"/>
        </w:rPr>
        <w:t>3A-5</w:t>
      </w:r>
    </w:p>
    <w:p w:rsidR="006F7200" w:rsidRDefault="006F7200" w:rsidP="00821CF1">
      <w:pPr>
        <w:ind w:left="720"/>
      </w:pPr>
      <w:r>
        <w:t xml:space="preserve">For project applicants that plan to use funding for construction or rehabilitation, in order for the CoC to receive maximum points, the CoC must include information that describes the actions that will be taken by project applicants that receive CoC funding to comply with section 3 of the Housing and Urban Development Act of 1968 (12 U.S.C. 1701u) (Section 3) and HUD’s implementing rules at 24 CFR part 135 to provide employment and training opportunities for </w:t>
      </w:r>
      <w:r>
        <w:lastRenderedPageBreak/>
        <w:t>low- and very low-income persons, as well as contracting and other economic opportunities for businesses that provide economic opportunities to low- and very low-income persons. This does not affect the applicants’ existing responsibilities to provide training, employment, and other economic opportunities pursuant to Section 3 that result from their receipt of other HUD funding.</w:t>
      </w:r>
    </w:p>
    <w:p w:rsidR="006F7200" w:rsidRDefault="006F7200" w:rsidP="00821CF1">
      <w:pPr>
        <w:ind w:left="720"/>
      </w:pPr>
      <w:r>
        <w:t xml:space="preserve">g. HMIS System Performance Measures. </w:t>
      </w:r>
      <w:r w:rsidRPr="0084286C">
        <w:rPr>
          <w:highlight w:val="green"/>
        </w:rPr>
        <w:t>Up to 6 points</w:t>
      </w:r>
      <w:r>
        <w:t xml:space="preserve"> for </w:t>
      </w:r>
      <w:proofErr w:type="spellStart"/>
      <w:r>
        <w:t>CoCs</w:t>
      </w:r>
      <w:proofErr w:type="spellEnd"/>
      <w:r>
        <w:t xml:space="preserve"> that submit a data quality report that describes the data quality for system performance. Maximum points will be awarded to </w:t>
      </w:r>
      <w:proofErr w:type="spellStart"/>
      <w:r>
        <w:t>CoCs</w:t>
      </w:r>
      <w:proofErr w:type="spellEnd"/>
      <w:r>
        <w:t xml:space="preserve"> that submit the data quality report with their system performance measures submission in HDX.</w:t>
      </w:r>
      <w:r w:rsidR="00A70ABB">
        <w:t xml:space="preserve"> </w:t>
      </w:r>
      <w:r w:rsidR="00A70ABB" w:rsidRPr="00A70ABB">
        <w:rPr>
          <w:highlight w:val="yellow"/>
        </w:rPr>
        <w:t>3A-7</w:t>
      </w:r>
    </w:p>
    <w:p w:rsidR="006F7200" w:rsidRDefault="006F7200" w:rsidP="006F7200">
      <w:r w:rsidRPr="0084286C">
        <w:rPr>
          <w:highlight w:val="yellow"/>
        </w:rPr>
        <w:t>6. Performance and Strategic Planning. HUD will award up to 60 points</w:t>
      </w:r>
      <w:r>
        <w:t xml:space="preserve"> based on the CoC’s plan for and progress towards reducing homelessness within its geographic area. HUD will award:</w:t>
      </w:r>
    </w:p>
    <w:p w:rsidR="006F7200" w:rsidRDefault="006F7200" w:rsidP="00821CF1">
      <w:pPr>
        <w:ind w:left="720"/>
      </w:pPr>
      <w:r>
        <w:t xml:space="preserve">a. Ending Chronic Homelessness. HUD will award </w:t>
      </w:r>
      <w:r w:rsidRPr="0084286C">
        <w:rPr>
          <w:highlight w:val="green"/>
        </w:rPr>
        <w:t>up to 15 points</w:t>
      </w:r>
      <w:r>
        <w:t xml:space="preserve"> to </w:t>
      </w:r>
      <w:proofErr w:type="spellStart"/>
      <w:r>
        <w:t>CoCs</w:t>
      </w:r>
      <w:proofErr w:type="spellEnd"/>
      <w:r>
        <w:t xml:space="preserve"> for demonstrating the extent to which they are ending chronic homelessness. HUD will award:</w:t>
      </w:r>
    </w:p>
    <w:p w:rsidR="006F7200" w:rsidRDefault="006F7200" w:rsidP="00821CF1">
      <w:pPr>
        <w:ind w:left="1440"/>
      </w:pPr>
      <w:r>
        <w:t xml:space="preserve">(1) </w:t>
      </w:r>
      <w:r w:rsidRPr="0084286C">
        <w:rPr>
          <w:highlight w:val="cyan"/>
        </w:rPr>
        <w:t>Up to 2 points</w:t>
      </w:r>
      <w:r>
        <w:t xml:space="preserve"> to </w:t>
      </w:r>
      <w:proofErr w:type="spellStart"/>
      <w:r>
        <w:t>CoCs</w:t>
      </w:r>
      <w:proofErr w:type="spellEnd"/>
      <w:r>
        <w:t xml:space="preserve"> that have adopted the order of priority in Notice CPD 16-11: Prioritizing Persons Experiencing Chronic Homelessness and Other Vulnerable Homeless Persons in Permanent Supportive Housing.</w:t>
      </w:r>
      <w:r w:rsidR="00A70ABB">
        <w:t xml:space="preserve"> </w:t>
      </w:r>
      <w:r w:rsidR="00A70ABB" w:rsidRPr="00A70ABB">
        <w:rPr>
          <w:highlight w:val="yellow"/>
        </w:rPr>
        <w:t>3B-1.2</w:t>
      </w:r>
    </w:p>
    <w:p w:rsidR="006F7200" w:rsidRDefault="006F7200" w:rsidP="00821CF1">
      <w:pPr>
        <w:ind w:left="1440"/>
      </w:pPr>
      <w:r>
        <w:t xml:space="preserve">(2) </w:t>
      </w:r>
      <w:r w:rsidRPr="0084286C">
        <w:rPr>
          <w:highlight w:val="cyan"/>
        </w:rPr>
        <w:t>Up to 5 points</w:t>
      </w:r>
      <w:r>
        <w:t xml:space="preserve"> to </w:t>
      </w:r>
      <w:proofErr w:type="spellStart"/>
      <w:r>
        <w:t>CoCs</w:t>
      </w:r>
      <w:proofErr w:type="spellEnd"/>
      <w:r>
        <w:t xml:space="preserve"> that increase the total number of PSH beds (from any funding source) dedicated to chronically homeless individuals or families as defined in Section III.A.3(b) of this NOFA. Maximum points will be awarded to </w:t>
      </w:r>
      <w:proofErr w:type="spellStart"/>
      <w:r>
        <w:t>CoCs</w:t>
      </w:r>
      <w:proofErr w:type="spellEnd"/>
      <w:r>
        <w:t xml:space="preserve"> that demonstrate an increase in dedicated permanent supportive housing beds reported on the HIC from 2016 to 2017.</w:t>
      </w:r>
      <w:r w:rsidR="00A70ABB">
        <w:t xml:space="preserve"> </w:t>
      </w:r>
      <w:r w:rsidR="00A70ABB" w:rsidRPr="00A70ABB">
        <w:rPr>
          <w:highlight w:val="yellow"/>
        </w:rPr>
        <w:t>3B-1</w:t>
      </w:r>
    </w:p>
    <w:p w:rsidR="006F7200" w:rsidRDefault="006F7200" w:rsidP="00A70ABB">
      <w:pPr>
        <w:ind w:left="1440"/>
      </w:pPr>
      <w:r>
        <w:t xml:space="preserve">(3) </w:t>
      </w:r>
      <w:r w:rsidRPr="0084286C">
        <w:rPr>
          <w:highlight w:val="cyan"/>
        </w:rPr>
        <w:t>Up to 6 points</w:t>
      </w:r>
      <w:r>
        <w:t xml:space="preserve"> to </w:t>
      </w:r>
      <w:proofErr w:type="spellStart"/>
      <w:r>
        <w:t>CoCs</w:t>
      </w:r>
      <w:proofErr w:type="spellEnd"/>
      <w:r>
        <w:t xml:space="preserve"> where at least 90 percent of permanent supportive housing beds requested in the FY 2017 CoC Program Competition are either beds dedicated to chronically homeless individuals or families as defined in Section III.A.3.(b) of this NOFA or are in projects classified as </w:t>
      </w:r>
      <w:proofErr w:type="spellStart"/>
      <w:r>
        <w:t>DedicatedPLUS</w:t>
      </w:r>
      <w:proofErr w:type="spellEnd"/>
      <w:r>
        <w:t xml:space="preserve"> as defined in III.A.3.(d) of this NOFA.</w:t>
      </w:r>
      <w:r w:rsidR="00A70ABB">
        <w:t xml:space="preserve">      </w:t>
      </w:r>
      <w:r w:rsidR="00A70ABB" w:rsidRPr="00A70ABB">
        <w:rPr>
          <w:highlight w:val="yellow"/>
        </w:rPr>
        <w:t>3B-1.1</w:t>
      </w:r>
    </w:p>
    <w:p w:rsidR="006F7200" w:rsidRDefault="006F7200" w:rsidP="00821CF1">
      <w:pPr>
        <w:ind w:left="1440"/>
      </w:pPr>
      <w:r>
        <w:t xml:space="preserve">(4) </w:t>
      </w:r>
      <w:r w:rsidRPr="0084286C">
        <w:rPr>
          <w:highlight w:val="cyan"/>
        </w:rPr>
        <w:t>Up to 2 points</w:t>
      </w:r>
      <w:r>
        <w:t xml:space="preserve"> to </w:t>
      </w:r>
      <w:proofErr w:type="spellStart"/>
      <w:r>
        <w:t>CoCs</w:t>
      </w:r>
      <w:proofErr w:type="spellEnd"/>
      <w:r>
        <w:t xml:space="preserve"> for reducing the number of chronically homeless individuals and families in the CoC’s geographic area, as reported by the CoC in the 2017 PIT count compared to the 2016 PIT count (or the 2015 PIT count if an</w:t>
      </w:r>
      <w:r w:rsidR="00821CF1">
        <w:t xml:space="preserve"> </w:t>
      </w:r>
      <w:r>
        <w:t xml:space="preserve">unsheltered count was not conducted in 2016). Maximum points will be awarded to </w:t>
      </w:r>
      <w:proofErr w:type="spellStart"/>
      <w:r>
        <w:t>CoCs</w:t>
      </w:r>
      <w:proofErr w:type="spellEnd"/>
      <w:r>
        <w:t xml:space="preserve"> that demonstrate a decrease in both the total number of chronically homeless individuals and families as well as a decrease in the total unsheltered chronic homeless population. </w:t>
      </w:r>
      <w:proofErr w:type="spellStart"/>
      <w:r>
        <w:t>CoCs</w:t>
      </w:r>
      <w:proofErr w:type="spellEnd"/>
      <w:r>
        <w:t xml:space="preserve"> must explain any increase or no change to the number of chronically homeless individuals and families in the CoC.</w:t>
      </w:r>
      <w:r w:rsidR="00670F52">
        <w:t xml:space="preserve"> </w:t>
      </w:r>
      <w:r w:rsidR="00670F52" w:rsidRPr="00670F52">
        <w:rPr>
          <w:highlight w:val="yellow"/>
        </w:rPr>
        <w:t>HDX</w:t>
      </w:r>
    </w:p>
    <w:p w:rsidR="006F7200" w:rsidRDefault="006F7200" w:rsidP="00821CF1">
      <w:pPr>
        <w:ind w:left="720"/>
      </w:pPr>
      <w:r>
        <w:t xml:space="preserve">b. Ending Homelessness </w:t>
      </w:r>
      <w:proofErr w:type="gramStart"/>
      <w:r>
        <w:t>Among</w:t>
      </w:r>
      <w:proofErr w:type="gramEnd"/>
      <w:r>
        <w:t xml:space="preserve"> Households with Children. HUD will award </w:t>
      </w:r>
      <w:r w:rsidRPr="0084286C">
        <w:rPr>
          <w:highlight w:val="green"/>
        </w:rPr>
        <w:t>up to 15 points</w:t>
      </w:r>
      <w:r>
        <w:t xml:space="preserve"> to </w:t>
      </w:r>
      <w:proofErr w:type="spellStart"/>
      <w:r>
        <w:t>CoCs</w:t>
      </w:r>
      <w:proofErr w:type="spellEnd"/>
      <w:r>
        <w:t xml:space="preserve"> based on the extent to which they will end homelessness among households with children. HUD will award:</w:t>
      </w:r>
    </w:p>
    <w:p w:rsidR="006F7200" w:rsidRDefault="006F7200" w:rsidP="00821CF1">
      <w:pPr>
        <w:ind w:left="1440"/>
      </w:pPr>
      <w:r>
        <w:t xml:space="preserve">(1) </w:t>
      </w:r>
      <w:r w:rsidRPr="0084286C">
        <w:rPr>
          <w:highlight w:val="cyan"/>
        </w:rPr>
        <w:t>Up to 2 points</w:t>
      </w:r>
      <w:r>
        <w:t xml:space="preserve"> to </w:t>
      </w:r>
      <w:proofErr w:type="spellStart"/>
      <w:r>
        <w:t>CoCs</w:t>
      </w:r>
      <w:proofErr w:type="spellEnd"/>
      <w:r>
        <w:t xml:space="preserve"> that prioritize households with children based on need, including factors such as: history of or vulnerability to victimization (e.g., domestic violence, sexual assault, </w:t>
      </w:r>
      <w:proofErr w:type="gramStart"/>
      <w:r>
        <w:t>childhood</w:t>
      </w:r>
      <w:proofErr w:type="gramEnd"/>
      <w:r>
        <w:t xml:space="preserve"> abuse), number of previous episodes of </w:t>
      </w:r>
      <w:r>
        <w:lastRenderedPageBreak/>
        <w:t>homelessness, unsheltered homelessness, criminal histories, or bad credit or rental history.</w:t>
      </w:r>
      <w:r w:rsidR="00670F52">
        <w:t xml:space="preserve"> </w:t>
      </w:r>
      <w:r w:rsidR="00670F52" w:rsidRPr="00670F52">
        <w:rPr>
          <w:highlight w:val="yellow"/>
        </w:rPr>
        <w:t>3B-2.1</w:t>
      </w:r>
    </w:p>
    <w:p w:rsidR="006F7200" w:rsidRDefault="006F7200" w:rsidP="00821CF1">
      <w:pPr>
        <w:ind w:left="1440"/>
      </w:pPr>
      <w:r>
        <w:t xml:space="preserve">(2) </w:t>
      </w:r>
      <w:r w:rsidRPr="0084286C">
        <w:rPr>
          <w:highlight w:val="cyan"/>
        </w:rPr>
        <w:t>Up to 3 points</w:t>
      </w:r>
      <w:r>
        <w:t xml:space="preserve"> to </w:t>
      </w:r>
      <w:proofErr w:type="spellStart"/>
      <w:r>
        <w:t>CoCs</w:t>
      </w:r>
      <w:proofErr w:type="spellEnd"/>
      <w:r>
        <w:t xml:space="preserve"> that describe a strategy to rapidly re-house households with children within 30 days of those families becoming homeless. Maximum points will be awarded to </w:t>
      </w:r>
      <w:proofErr w:type="spellStart"/>
      <w:r>
        <w:t>CoCs</w:t>
      </w:r>
      <w:proofErr w:type="spellEnd"/>
      <w:r>
        <w:t xml:space="preserve"> that describe an effective strategy to quickly re-house families and identify the organization or position that is responsible for implementing the strategy.</w:t>
      </w:r>
      <w:r w:rsidR="00670F52">
        <w:t xml:space="preserve"> </w:t>
      </w:r>
      <w:r w:rsidR="00670F52" w:rsidRPr="00670F52">
        <w:rPr>
          <w:highlight w:val="yellow"/>
        </w:rPr>
        <w:t>3B-2.2</w:t>
      </w:r>
    </w:p>
    <w:p w:rsidR="006F7200" w:rsidRDefault="006F7200" w:rsidP="00821CF1">
      <w:pPr>
        <w:ind w:left="1440"/>
      </w:pPr>
      <w:r>
        <w:t xml:space="preserve">(3) </w:t>
      </w:r>
      <w:r w:rsidRPr="0084286C">
        <w:rPr>
          <w:highlight w:val="cyan"/>
        </w:rPr>
        <w:t>Up to 4 points</w:t>
      </w:r>
      <w:r>
        <w:t xml:space="preserve"> to </w:t>
      </w:r>
      <w:proofErr w:type="spellStart"/>
      <w:r>
        <w:t>CoCs</w:t>
      </w:r>
      <w:proofErr w:type="spellEnd"/>
      <w:r>
        <w:t xml:space="preserve"> for increasing rapid rehousing units for households with children experiencing homelessness. Maximum points will be awarded to </w:t>
      </w:r>
      <w:proofErr w:type="spellStart"/>
      <w:r>
        <w:t>CoCs</w:t>
      </w:r>
      <w:proofErr w:type="spellEnd"/>
      <w:r>
        <w:t xml:space="preserve"> that increase rapid rehousing units by at least 5 percent.</w:t>
      </w:r>
      <w:r w:rsidR="00670F52">
        <w:t xml:space="preserve"> </w:t>
      </w:r>
      <w:r w:rsidR="00670F52">
        <w:rPr>
          <w:highlight w:val="yellow"/>
        </w:rPr>
        <w:t>3B</w:t>
      </w:r>
      <w:r w:rsidR="00670F52" w:rsidRPr="00670F52">
        <w:rPr>
          <w:highlight w:val="yellow"/>
        </w:rPr>
        <w:t>-2.3</w:t>
      </w:r>
    </w:p>
    <w:p w:rsidR="006F7200" w:rsidRDefault="006F7200" w:rsidP="00821CF1">
      <w:pPr>
        <w:ind w:left="1440"/>
      </w:pPr>
      <w:r>
        <w:t xml:space="preserve">(4) </w:t>
      </w:r>
      <w:r w:rsidRPr="0084286C">
        <w:rPr>
          <w:highlight w:val="cyan"/>
        </w:rPr>
        <w:t>Up to 2 points</w:t>
      </w:r>
      <w:r>
        <w:t xml:space="preserve"> to </w:t>
      </w:r>
      <w:proofErr w:type="spellStart"/>
      <w:r>
        <w:t>CoCs</w:t>
      </w:r>
      <w:proofErr w:type="spellEnd"/>
      <w:r>
        <w:t xml:space="preserve"> for ensuring emergency shelters, transitional housing, and permanent housing projects within the CoC do not deny admission to or separate family members when they enter shelter or housing, including serving all family members together and in accordance with each family member’s self-reported gender.</w:t>
      </w:r>
      <w:r w:rsidR="00670F52">
        <w:t xml:space="preserve"> </w:t>
      </w:r>
      <w:r w:rsidR="00670F52" w:rsidRPr="00670F52">
        <w:rPr>
          <w:highlight w:val="yellow"/>
        </w:rPr>
        <w:t>3B-2.4</w:t>
      </w:r>
    </w:p>
    <w:p w:rsidR="006F7200" w:rsidRDefault="006F7200" w:rsidP="00821CF1">
      <w:pPr>
        <w:ind w:left="1440"/>
      </w:pPr>
      <w:r>
        <w:t xml:space="preserve">(5) </w:t>
      </w:r>
      <w:r w:rsidRPr="0084286C">
        <w:rPr>
          <w:highlight w:val="cyan"/>
        </w:rPr>
        <w:t>Up to 3 points</w:t>
      </w:r>
      <w:r>
        <w:t xml:space="preserve"> to </w:t>
      </w:r>
      <w:proofErr w:type="spellStart"/>
      <w:r>
        <w:t>CoCs</w:t>
      </w:r>
      <w:proofErr w:type="spellEnd"/>
      <w:r>
        <w:t xml:space="preserve"> that demonstrate the total number of homeless households with children and youth has decreased as reported in the 2017 PIT count compared to 2016.</w:t>
      </w:r>
      <w:r w:rsidR="00670F52">
        <w:t xml:space="preserve"> </w:t>
      </w:r>
      <w:r w:rsidR="00670F52" w:rsidRPr="00670F52">
        <w:rPr>
          <w:highlight w:val="yellow"/>
        </w:rPr>
        <w:t>HDX</w:t>
      </w:r>
    </w:p>
    <w:p w:rsidR="006F7200" w:rsidRDefault="006F7200" w:rsidP="00821CF1">
      <w:pPr>
        <w:ind w:left="1440"/>
      </w:pPr>
      <w:r>
        <w:t xml:space="preserve">(6) </w:t>
      </w:r>
      <w:r w:rsidRPr="0084286C">
        <w:rPr>
          <w:highlight w:val="cyan"/>
        </w:rPr>
        <w:t>Up to 1 point</w:t>
      </w:r>
      <w:r>
        <w:t xml:space="preserve"> to </w:t>
      </w:r>
      <w:proofErr w:type="spellStart"/>
      <w:r>
        <w:t>CoCs</w:t>
      </w:r>
      <w:proofErr w:type="spellEnd"/>
      <w:r>
        <w:t xml:space="preserve"> that demonstrate unaccompanied youth and families with children experiencing homelessness are informed of and receive access to educational services through programs such as Public Pre-K, Head Start, Child Care (Child Care and Development Fund), and home visiting (including Maternal, Infant and Early Childhood Home and Visiting or MIECHV). Maximum points will be awarded to </w:t>
      </w:r>
      <w:proofErr w:type="spellStart"/>
      <w:r>
        <w:t>CoCs</w:t>
      </w:r>
      <w:proofErr w:type="spellEnd"/>
      <w:r>
        <w:t xml:space="preserve"> that demonstrate there are written agreements in place between the CoC or its HUD-funded projects and educational supports and services, including those for children ages 0-5.</w:t>
      </w:r>
      <w:r w:rsidR="00670F52">
        <w:t xml:space="preserve">     </w:t>
      </w:r>
      <w:r w:rsidR="00670F52" w:rsidRPr="00670F52">
        <w:rPr>
          <w:highlight w:val="yellow"/>
        </w:rPr>
        <w:t>3B-2.7</w:t>
      </w:r>
      <w:r w:rsidR="00670F52">
        <w:t xml:space="preserve">, </w:t>
      </w:r>
      <w:r w:rsidR="00670F52" w:rsidRPr="00670F52">
        <w:rPr>
          <w:highlight w:val="yellow"/>
        </w:rPr>
        <w:t>3B-2.8</w:t>
      </w:r>
      <w:r w:rsidR="000B7425">
        <w:t xml:space="preserve">, </w:t>
      </w:r>
      <w:r w:rsidR="000B7425" w:rsidRPr="000B7425">
        <w:rPr>
          <w:highlight w:val="yellow"/>
        </w:rPr>
        <w:t>3B-2.9</w:t>
      </w:r>
    </w:p>
    <w:p w:rsidR="006F7200" w:rsidRDefault="006F7200" w:rsidP="00821CF1">
      <w:pPr>
        <w:ind w:left="720"/>
      </w:pPr>
      <w:r>
        <w:t xml:space="preserve">c. Ending Youth Homelessness. HUD will award </w:t>
      </w:r>
      <w:r w:rsidRPr="0084286C">
        <w:rPr>
          <w:highlight w:val="green"/>
        </w:rPr>
        <w:t>up to 15 points</w:t>
      </w:r>
      <w:r>
        <w:t xml:space="preserve"> to </w:t>
      </w:r>
      <w:proofErr w:type="spellStart"/>
      <w:r>
        <w:t>CoCs</w:t>
      </w:r>
      <w:proofErr w:type="spellEnd"/>
      <w:r>
        <w:t xml:space="preserve"> progress towards ending homelessness among unaccompanied youth. HUD will award:</w:t>
      </w:r>
    </w:p>
    <w:p w:rsidR="006F7200" w:rsidRDefault="006F7200" w:rsidP="00821CF1">
      <w:pPr>
        <w:ind w:left="1440"/>
      </w:pPr>
      <w:r>
        <w:t xml:space="preserve">(1) </w:t>
      </w:r>
      <w:r w:rsidRPr="0084286C">
        <w:rPr>
          <w:highlight w:val="cyan"/>
        </w:rPr>
        <w:t>Up to 2 points</w:t>
      </w:r>
      <w:r>
        <w:t xml:space="preserve"> to </w:t>
      </w:r>
      <w:proofErr w:type="spellStart"/>
      <w:r>
        <w:t>CoCs</w:t>
      </w:r>
      <w:proofErr w:type="spellEnd"/>
      <w:r>
        <w:t xml:space="preserve"> that prioritize unaccompanied youth based on need, including factors such as: history of or vulnerability to victimization (e.g., domestic violence, sexual assault, </w:t>
      </w:r>
      <w:proofErr w:type="gramStart"/>
      <w:r>
        <w:t>childhood</w:t>
      </w:r>
      <w:proofErr w:type="gramEnd"/>
      <w:r>
        <w:t xml:space="preserve"> abuse), number of previous homeless</w:t>
      </w:r>
      <w:r w:rsidR="00821CF1">
        <w:t xml:space="preserve"> </w:t>
      </w:r>
      <w:r>
        <w:t>episodes, unsheltered homelessness, criminal history, and bad credit or rental history.</w:t>
      </w:r>
      <w:r w:rsidR="00670F52">
        <w:t xml:space="preserve"> </w:t>
      </w:r>
      <w:r w:rsidR="00670F52" w:rsidRPr="00670F52">
        <w:rPr>
          <w:highlight w:val="yellow"/>
        </w:rPr>
        <w:t>3B-2.5</w:t>
      </w:r>
    </w:p>
    <w:p w:rsidR="006F7200" w:rsidRDefault="006F7200" w:rsidP="00821CF1">
      <w:pPr>
        <w:ind w:left="1440"/>
      </w:pPr>
      <w:r>
        <w:t xml:space="preserve">(2) </w:t>
      </w:r>
      <w:r w:rsidRPr="0084286C">
        <w:rPr>
          <w:highlight w:val="cyan"/>
        </w:rPr>
        <w:t>Up to 5 points</w:t>
      </w:r>
      <w:r>
        <w:t xml:space="preserve"> to </w:t>
      </w:r>
      <w:proofErr w:type="spellStart"/>
      <w:r>
        <w:t>CoCs</w:t>
      </w:r>
      <w:proofErr w:type="spellEnd"/>
      <w:r>
        <w:t xml:space="preserve"> for strategies that address the unique circumstances and needs of unaccompanied homeless youth. Maximum points will be awarded to </w:t>
      </w:r>
      <w:proofErr w:type="spellStart"/>
      <w:r>
        <w:t>CoCs</w:t>
      </w:r>
      <w:proofErr w:type="spellEnd"/>
      <w:r>
        <w:t xml:space="preserve"> that demonstrate they are addressing unsheltered homelessness, trafficking, and other forms of exploitation experienced by unaccompanied youth experiencing homelessness.</w:t>
      </w:r>
      <w:r w:rsidR="00670F52">
        <w:t xml:space="preserve"> </w:t>
      </w:r>
      <w:r w:rsidR="00670F52" w:rsidRPr="00C760AF">
        <w:rPr>
          <w:highlight w:val="yellow"/>
        </w:rPr>
        <w:t>3B</w:t>
      </w:r>
      <w:r w:rsidR="00C760AF" w:rsidRPr="00C760AF">
        <w:rPr>
          <w:highlight w:val="yellow"/>
        </w:rPr>
        <w:t>-2.6</w:t>
      </w:r>
      <w:r w:rsidR="00670F52">
        <w:t xml:space="preserve">                  </w:t>
      </w:r>
    </w:p>
    <w:p w:rsidR="006F7200" w:rsidRDefault="006F7200" w:rsidP="00821CF1">
      <w:pPr>
        <w:ind w:left="1440"/>
      </w:pPr>
      <w:r>
        <w:t xml:space="preserve">(3) </w:t>
      </w:r>
      <w:r w:rsidRPr="0084286C">
        <w:rPr>
          <w:highlight w:val="cyan"/>
        </w:rPr>
        <w:t>Up to 7 points</w:t>
      </w:r>
      <w:r>
        <w:t xml:space="preserve"> to </w:t>
      </w:r>
      <w:proofErr w:type="spellStart"/>
      <w:r>
        <w:t>CoCs</w:t>
      </w:r>
      <w:proofErr w:type="spellEnd"/>
      <w:r>
        <w:t xml:space="preserve"> that demonstrate the strategies used by the CoC, including additional funding secured, to increase the availability of housing and services for youth experiencing homelessness, especially those experiencing unsheltered homelessness. Maximum points will be awarded to </w:t>
      </w:r>
      <w:proofErr w:type="spellStart"/>
      <w:r>
        <w:t>CoCs</w:t>
      </w:r>
      <w:proofErr w:type="spellEnd"/>
      <w:r>
        <w:t xml:space="preserve"> that provide evidence that the strategies </w:t>
      </w:r>
      <w:r>
        <w:lastRenderedPageBreak/>
        <w:t>implemented are effective at ending youth homelessness and include the measure that is being used to determine the effectiveness of the strategies</w:t>
      </w:r>
      <w:r w:rsidRPr="00C760AF">
        <w:rPr>
          <w:highlight w:val="yellow"/>
        </w:rPr>
        <w:t>.</w:t>
      </w:r>
      <w:r w:rsidR="00C760AF" w:rsidRPr="00C760AF">
        <w:rPr>
          <w:highlight w:val="yellow"/>
        </w:rPr>
        <w:t xml:space="preserve"> 3B-2.7</w:t>
      </w:r>
    </w:p>
    <w:p w:rsidR="006F7200" w:rsidRDefault="006F7200" w:rsidP="00821CF1">
      <w:pPr>
        <w:ind w:left="1440"/>
      </w:pPr>
      <w:r>
        <w:t xml:space="preserve">(4) </w:t>
      </w:r>
      <w:r w:rsidRPr="0084286C">
        <w:rPr>
          <w:highlight w:val="cyan"/>
        </w:rPr>
        <w:t>Up to 1 points</w:t>
      </w:r>
      <w:r>
        <w:t xml:space="preserve"> to </w:t>
      </w:r>
      <w:proofErr w:type="spellStart"/>
      <w:r>
        <w:t>CoCs</w:t>
      </w:r>
      <w:proofErr w:type="spellEnd"/>
      <w:r>
        <w:t xml:space="preserve"> that demonstrate how the CoC collaborates with youth education providers, McKinney-Vento local educational authorities, and school districts. Maximum points will be awarded to </w:t>
      </w:r>
      <w:proofErr w:type="spellStart"/>
      <w:r>
        <w:t>CoCs</w:t>
      </w:r>
      <w:proofErr w:type="spellEnd"/>
      <w:r>
        <w:t xml:space="preserve"> that demonstrate formal partnerships with these entities and that policies and procedures have been adopted to inform individuals and families who become homeless of their eligibility for educational services.</w:t>
      </w:r>
      <w:r w:rsidR="00C760AF">
        <w:t xml:space="preserve"> </w:t>
      </w:r>
      <w:r w:rsidR="00C760AF" w:rsidRPr="00C760AF">
        <w:rPr>
          <w:highlight w:val="yellow"/>
        </w:rPr>
        <w:t>3B-2.8</w:t>
      </w:r>
    </w:p>
    <w:p w:rsidR="006F7200" w:rsidRDefault="006F7200" w:rsidP="00821CF1">
      <w:pPr>
        <w:ind w:left="720"/>
      </w:pPr>
      <w:r>
        <w:t xml:space="preserve">d. Ending Veteran Homelessness. HUD will award </w:t>
      </w:r>
      <w:r w:rsidRPr="0084286C">
        <w:rPr>
          <w:highlight w:val="green"/>
        </w:rPr>
        <w:t>up to 15 points</w:t>
      </w:r>
      <w:r>
        <w:t xml:space="preserve"> to </w:t>
      </w:r>
      <w:proofErr w:type="spellStart"/>
      <w:r>
        <w:t>CoCs</w:t>
      </w:r>
      <w:proofErr w:type="spellEnd"/>
      <w:r>
        <w:t xml:space="preserve"> for progress towards ending veteran homelessness. HUD will award:</w:t>
      </w:r>
    </w:p>
    <w:p w:rsidR="006F7200" w:rsidRDefault="006F7200" w:rsidP="00821CF1">
      <w:pPr>
        <w:ind w:left="1440"/>
      </w:pPr>
      <w:r>
        <w:t xml:space="preserve">(1) </w:t>
      </w:r>
      <w:r w:rsidRPr="0084286C">
        <w:rPr>
          <w:highlight w:val="cyan"/>
        </w:rPr>
        <w:t>Up to 8 points</w:t>
      </w:r>
      <w:r>
        <w:t xml:space="preserve"> to </w:t>
      </w:r>
      <w:proofErr w:type="spellStart"/>
      <w:r>
        <w:t>CoCs</w:t>
      </w:r>
      <w:proofErr w:type="spellEnd"/>
      <w:r>
        <w:t xml:space="preserve"> that demonstrate a decrease in the total number of homeless veterans in the CoC, as reported in the 2017 PIT count, compared to 2016.</w:t>
      </w:r>
      <w:r w:rsidR="00C760AF">
        <w:t xml:space="preserve"> </w:t>
      </w:r>
      <w:r w:rsidR="00C760AF" w:rsidRPr="00C760AF">
        <w:rPr>
          <w:highlight w:val="yellow"/>
        </w:rPr>
        <w:t>HDX</w:t>
      </w:r>
    </w:p>
    <w:p w:rsidR="006F7200" w:rsidRDefault="006F7200" w:rsidP="00821CF1">
      <w:pPr>
        <w:ind w:left="1440"/>
      </w:pPr>
      <w:r>
        <w:t xml:space="preserve">(2) </w:t>
      </w:r>
      <w:r w:rsidRPr="0084286C">
        <w:rPr>
          <w:highlight w:val="cyan"/>
        </w:rPr>
        <w:t>Up to 4 points</w:t>
      </w:r>
      <w:r>
        <w:t xml:space="preserve"> to </w:t>
      </w:r>
      <w:proofErr w:type="spellStart"/>
      <w:r>
        <w:t>CoCs</w:t>
      </w:r>
      <w:proofErr w:type="spellEnd"/>
      <w:r>
        <w:t xml:space="preserve"> that demonstrate the total number of homeless households with children and youth has decreased as reported in the 2017 PIT count compared to 2016.</w:t>
      </w:r>
      <w:r w:rsidR="00C760AF">
        <w:t xml:space="preserve"> </w:t>
      </w:r>
      <w:r w:rsidR="00C760AF" w:rsidRPr="00C760AF">
        <w:rPr>
          <w:highlight w:val="yellow"/>
        </w:rPr>
        <w:t>HDX</w:t>
      </w:r>
    </w:p>
    <w:p w:rsidR="006F7200" w:rsidRDefault="006F7200" w:rsidP="00821CF1">
      <w:pPr>
        <w:ind w:left="1440"/>
      </w:pPr>
      <w:r>
        <w:t xml:space="preserve">(3) </w:t>
      </w:r>
      <w:r w:rsidRPr="0084286C">
        <w:rPr>
          <w:highlight w:val="cyan"/>
        </w:rPr>
        <w:t>Up to 3 points</w:t>
      </w:r>
      <w:r>
        <w:t xml:space="preserve"> to </w:t>
      </w:r>
      <w:proofErr w:type="spellStart"/>
      <w:r>
        <w:t>CoCs</w:t>
      </w:r>
      <w:proofErr w:type="spellEnd"/>
      <w:r>
        <w:t xml:space="preserve"> that demonstrate they identify, assess, and refer homeless veterans who are eligible for Veterans Affairs services and housing to appropriate resources such as HUD-VASH, Supportive Services for Veterans Families (SSVF), and Grant and Per Diem (GPD).</w:t>
      </w:r>
      <w:r w:rsidR="00C760AF">
        <w:t xml:space="preserve"> </w:t>
      </w:r>
      <w:r w:rsidR="00C760AF" w:rsidRPr="000B7425">
        <w:rPr>
          <w:highlight w:val="yellow"/>
        </w:rPr>
        <w:t>3B-3.1</w:t>
      </w:r>
      <w:r w:rsidR="000B7425" w:rsidRPr="000B7425">
        <w:rPr>
          <w:highlight w:val="yellow"/>
        </w:rPr>
        <w:t>, 3B-3.2, 3B-3.3</w:t>
      </w:r>
    </w:p>
    <w:p w:rsidR="006F7200" w:rsidRDefault="006F7200" w:rsidP="006F7200">
      <w:proofErr w:type="gramStart"/>
      <w:r w:rsidRPr="0023153A">
        <w:rPr>
          <w:highlight w:val="magenta"/>
        </w:rPr>
        <w:t>7.CoC</w:t>
      </w:r>
      <w:proofErr w:type="gramEnd"/>
      <w:r w:rsidRPr="0023153A">
        <w:rPr>
          <w:highlight w:val="magenta"/>
        </w:rPr>
        <w:t xml:space="preserve"> Merger Bonus Points: As stated in Section II.B.5 of this NOFA, HUD will award up to a possible 25 bonus points</w:t>
      </w:r>
      <w:r>
        <w:t xml:space="preserve"> to </w:t>
      </w:r>
      <w:proofErr w:type="spellStart"/>
      <w:r>
        <w:t>CoCs</w:t>
      </w:r>
      <w:proofErr w:type="spellEnd"/>
      <w:r>
        <w:t xml:space="preserve"> that merged in the period between the final funding announcement for FY 2016 and the FY 2017 CoC Program Registration deadline based on the following structure:</w:t>
      </w:r>
    </w:p>
    <w:p w:rsidR="006F7200" w:rsidRDefault="006F7200" w:rsidP="00821CF1">
      <w:pPr>
        <w:ind w:left="720"/>
      </w:pPr>
      <w:r>
        <w:t xml:space="preserve">a. </w:t>
      </w:r>
      <w:r w:rsidRPr="0023153A">
        <w:rPr>
          <w:highlight w:val="magenta"/>
        </w:rPr>
        <w:t>5 bonus points</w:t>
      </w:r>
      <w:r>
        <w:t xml:space="preserve"> to </w:t>
      </w:r>
      <w:proofErr w:type="spellStart"/>
      <w:r>
        <w:t>CoCs</w:t>
      </w:r>
      <w:proofErr w:type="spellEnd"/>
      <w:r>
        <w:t xml:space="preserve"> for merging – all </w:t>
      </w:r>
      <w:proofErr w:type="spellStart"/>
      <w:r>
        <w:t>CoCs</w:t>
      </w:r>
      <w:proofErr w:type="spellEnd"/>
      <w:r>
        <w:t xml:space="preserve"> that merged will receive this minimum number of points.</w:t>
      </w:r>
    </w:p>
    <w:p w:rsidR="00CE0EC9" w:rsidRDefault="006F7200" w:rsidP="00CE0EC9">
      <w:pPr>
        <w:ind w:left="720"/>
      </w:pPr>
      <w:r>
        <w:t xml:space="preserve">b. </w:t>
      </w:r>
      <w:r w:rsidRPr="0023153A">
        <w:rPr>
          <w:highlight w:val="magenta"/>
        </w:rPr>
        <w:t>10 bonus points</w:t>
      </w:r>
      <w:r>
        <w:t xml:space="preserve"> to </w:t>
      </w:r>
      <w:proofErr w:type="spellStart"/>
      <w:r>
        <w:t>CoCs</w:t>
      </w:r>
      <w:proofErr w:type="spellEnd"/>
      <w:r>
        <w:t xml:space="preserve"> where one or more of the merged </w:t>
      </w:r>
      <w:proofErr w:type="spellStart"/>
      <w:r>
        <w:t>CoCs</w:t>
      </w:r>
      <w:proofErr w:type="spellEnd"/>
      <w:r>
        <w:t xml:space="preserve"> had a CoC Application score of 140 points or below in the FY 2016 CoC Program Competition. HUD will review the FY 2016 CoC Applications for the individual </w:t>
      </w:r>
      <w:proofErr w:type="spellStart"/>
      <w:r>
        <w:t>CoCs</w:t>
      </w:r>
      <w:proofErr w:type="spellEnd"/>
      <w:r>
        <w:t xml:space="preserve"> that were part of the merger to determine if at least one of the </w:t>
      </w:r>
      <w:proofErr w:type="spellStart"/>
      <w:r>
        <w:t>CoCs</w:t>
      </w:r>
      <w:proofErr w:type="spellEnd"/>
      <w:r>
        <w:t xml:space="preserve"> scored 140 points or below.</w:t>
      </w:r>
      <w:r w:rsidR="00696C27">
        <w:t xml:space="preserve"> </w:t>
      </w:r>
      <w:r>
        <w:t xml:space="preserve">These 10 bonus points for merging will be awarded if at least one of the merged </w:t>
      </w:r>
      <w:proofErr w:type="spellStart"/>
      <w:r>
        <w:t>CoCs</w:t>
      </w:r>
      <w:proofErr w:type="spellEnd"/>
      <w:r>
        <w:t xml:space="preserve"> meet this criteria.</w:t>
      </w:r>
      <w:r w:rsidR="00CE0EC9" w:rsidRPr="00CE0EC9">
        <w:t xml:space="preserve"> </w:t>
      </w:r>
    </w:p>
    <w:p w:rsidR="00CE0EC9" w:rsidRDefault="00CE0EC9" w:rsidP="00CE0EC9">
      <w:pPr>
        <w:ind w:left="720"/>
      </w:pPr>
      <w:r>
        <w:t xml:space="preserve">c. </w:t>
      </w:r>
      <w:r w:rsidRPr="0023153A">
        <w:rPr>
          <w:highlight w:val="magenta"/>
        </w:rPr>
        <w:t>Up to 10 bonus points</w:t>
      </w:r>
      <w:r>
        <w:t xml:space="preserve"> to </w:t>
      </w:r>
      <w:proofErr w:type="spellStart"/>
      <w:r>
        <w:t>CoCs</w:t>
      </w:r>
      <w:proofErr w:type="spellEnd"/>
      <w:r>
        <w:t xml:space="preserve"> that demonstrate that the results of their Point-in-Time counts reported in the Homelessness Data Exchange (HDX) were affected by changes in methodology that resulted from the merger in a way that would affect their CoC score. To receive these bonus points for mergers, the CoC will need to demonstrate that they changed the methodology of their Point-in-Time count and how it affected the results. Maximum points will be awarded for </w:t>
      </w:r>
      <w:proofErr w:type="spellStart"/>
      <w:r>
        <w:t>CoCs</w:t>
      </w:r>
      <w:proofErr w:type="spellEnd"/>
      <w:r>
        <w:t xml:space="preserve"> for which the change in methodology resulted in a reduction of at least 10 points in their CoC Score.</w:t>
      </w:r>
    </w:p>
    <w:p w:rsidR="006F7200" w:rsidRDefault="00CE0EC9" w:rsidP="00CE0EC9">
      <w:pPr>
        <w:ind w:left="720"/>
      </w:pPr>
      <w:r>
        <w:t>The minimum number of bonus points a merged CoC may receive is 5 and the maximum number or bonus points is 25.</w:t>
      </w:r>
    </w:p>
    <w:tbl>
      <w:tblPr>
        <w:tblpPr w:leftFromText="180" w:rightFromText="180" w:vertAnchor="text" w:horzAnchor="margin" w:tblpXSpec="right" w:tblpY="-2"/>
        <w:tblW w:w="9771" w:type="dxa"/>
        <w:tblLook w:val="04A0" w:firstRow="1" w:lastRow="0" w:firstColumn="1" w:lastColumn="0" w:noHBand="0" w:noVBand="1"/>
      </w:tblPr>
      <w:tblGrid>
        <w:gridCol w:w="978"/>
        <w:gridCol w:w="772"/>
        <w:gridCol w:w="704"/>
        <w:gridCol w:w="2755"/>
        <w:gridCol w:w="271"/>
        <w:gridCol w:w="940"/>
        <w:gridCol w:w="781"/>
        <w:gridCol w:w="704"/>
        <w:gridCol w:w="1866"/>
      </w:tblGrid>
      <w:tr w:rsidR="00CE0EC9" w:rsidRPr="00CE0EC9" w:rsidTr="00CE0EC9">
        <w:trPr>
          <w:trHeight w:hRule="exact" w:val="287"/>
        </w:trPr>
        <w:tc>
          <w:tcPr>
            <w:tcW w:w="5209" w:type="dxa"/>
            <w:gridSpan w:val="4"/>
            <w:tcBorders>
              <w:top w:val="single" w:sz="8" w:space="0" w:color="auto"/>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bookmarkStart w:id="0" w:name="RANGE!A1:I36"/>
            <w:r w:rsidRPr="00CE0EC9">
              <w:rPr>
                <w:rFonts w:ascii="Calibri" w:eastAsia="Times New Roman" w:hAnsi="Calibri" w:cstheme="minorHAnsi"/>
                <w:b/>
                <w:bCs/>
                <w:color w:val="000000"/>
                <w:sz w:val="20"/>
                <w:szCs w:val="24"/>
              </w:rPr>
              <w:lastRenderedPageBreak/>
              <w:t>1.</w:t>
            </w:r>
            <w:r w:rsidRPr="00CE0EC9">
              <w:rPr>
                <w:rFonts w:ascii="Times New Roman" w:eastAsia="Times New Roman" w:hAnsi="Times New Roman" w:cs="Times New Roman"/>
                <w:b/>
                <w:bCs/>
                <w:color w:val="000000"/>
                <w:sz w:val="20"/>
                <w:szCs w:val="24"/>
              </w:rPr>
              <w:t xml:space="preserve">      </w:t>
            </w:r>
            <w:r w:rsidRPr="00CE0EC9">
              <w:rPr>
                <w:rFonts w:ascii="Calibri" w:eastAsia="Times New Roman" w:hAnsi="Calibri" w:cstheme="minorHAnsi"/>
                <w:b/>
                <w:bCs/>
                <w:color w:val="000000"/>
                <w:sz w:val="20"/>
                <w:szCs w:val="24"/>
              </w:rPr>
              <w:t>Coordination</w:t>
            </w:r>
            <w:bookmarkEnd w:id="0"/>
          </w:p>
        </w:tc>
        <w:tc>
          <w:tcPr>
            <w:tcW w:w="271" w:type="dxa"/>
            <w:tcBorders>
              <w:top w:val="single" w:sz="8" w:space="0" w:color="auto"/>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4291" w:type="dxa"/>
            <w:gridSpan w:val="4"/>
            <w:tcBorders>
              <w:top w:val="single" w:sz="8" w:space="0" w:color="auto"/>
              <w:left w:val="nil"/>
              <w:bottom w:val="single" w:sz="8" w:space="0" w:color="auto"/>
              <w:right w:val="single" w:sz="4"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 xml:space="preserve">5 </w:t>
            </w:r>
            <w:proofErr w:type="spellStart"/>
            <w:r w:rsidRPr="00CE0EC9">
              <w:rPr>
                <w:rFonts w:ascii="Calibri" w:eastAsia="Times New Roman" w:hAnsi="Calibri" w:cs="Times New Roman"/>
                <w:b/>
                <w:bCs/>
                <w:color w:val="000000"/>
                <w:sz w:val="20"/>
                <w:szCs w:val="24"/>
              </w:rPr>
              <w:t>Sy</w:t>
            </w:r>
            <w:proofErr w:type="spellEnd"/>
            <w:r w:rsidRPr="00CE0EC9">
              <w:rPr>
                <w:rFonts w:ascii="Calibri" w:eastAsia="Times New Roman" w:hAnsi="Calibri" w:cs="Times New Roman"/>
                <w:b/>
                <w:bCs/>
                <w:color w:val="000000"/>
                <w:sz w:val="20"/>
                <w:szCs w:val="24"/>
              </w:rPr>
              <w:t xml:space="preserve"> PM (Cont’d) </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Total pts 43</w:t>
            </w:r>
          </w:p>
        </w:tc>
        <w:tc>
          <w:tcPr>
            <w:tcW w:w="772"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 </w:t>
            </w:r>
          </w:p>
        </w:tc>
        <w:tc>
          <w:tcPr>
            <w:tcW w:w="940"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 </w:t>
            </w:r>
          </w:p>
        </w:tc>
        <w:tc>
          <w:tcPr>
            <w:tcW w:w="781"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1a</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1B-1, 1B-1a, 1B-2, 1B-3</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5b</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3A-1</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1b</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1C-1, 1C-2</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5c</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11</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3A-2</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1C-2, 1C-3a1,a2 ,a3</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5d</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9</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3A-3</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1d</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1C-5</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5e</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6</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3A-4</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1e</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5</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1C-4, 1C-4a</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5f</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3A-5</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1f</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1D-1,1D-1a, 1D-2</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5g</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6</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3A-7</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1g</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8</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3B-3.4,  4A-3</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4291" w:type="dxa"/>
            <w:gridSpan w:val="4"/>
            <w:tcBorders>
              <w:top w:val="single" w:sz="8" w:space="0" w:color="auto"/>
              <w:left w:val="nil"/>
              <w:bottom w:val="single" w:sz="8" w:space="0" w:color="auto"/>
              <w:right w:val="single" w:sz="4"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6. Performance/Strategic</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1h</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4A-4</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Total pts 60</w:t>
            </w:r>
          </w:p>
        </w:tc>
        <w:tc>
          <w:tcPr>
            <w:tcW w:w="781"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1i</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4A-5</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6a1</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3B-1.2H14:H28</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1j</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1C-6</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6a2</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5</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3B-1.1</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1k</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8</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rPr>
              <w:t>3B-2.2, 3B-2.3, 3B-2.4, 4A-2 4A-3, 4A-4, 4A-6</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6a3</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6</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3B-1.1</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1l</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3A-5, 4A-1, 4A-1a</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6a4</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r>
      <w:tr w:rsidR="00CE0EC9" w:rsidRPr="00CE0EC9" w:rsidTr="00CE0EC9">
        <w:trPr>
          <w:trHeight w:val="287"/>
        </w:trPr>
        <w:tc>
          <w:tcPr>
            <w:tcW w:w="5209" w:type="dxa"/>
            <w:gridSpan w:val="4"/>
            <w:tcBorders>
              <w:top w:val="single" w:sz="8" w:space="0" w:color="auto"/>
              <w:left w:val="single" w:sz="4" w:space="0" w:color="auto"/>
              <w:bottom w:val="single" w:sz="8" w:space="0" w:color="auto"/>
              <w:right w:val="single" w:sz="8" w:space="0" w:color="000000"/>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2.Ranking/Review/Capacity</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6b1</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3B-2.1</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 xml:space="preserve"> Total pts 29</w:t>
            </w:r>
          </w:p>
        </w:tc>
        <w:tc>
          <w:tcPr>
            <w:tcW w:w="772"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6b2</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3B-2.2</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2a</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18</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xml:space="preserve">1E-1 </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6b3</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3B-2.3</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2b</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1E-2</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6b4</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3B-2.3</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2c</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1E-4.1, 1E-4.2</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6b5</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2d</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1E-1, 1E-3, ?1E-5, ?1E5a</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6b6</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3B-2.7, 3B-2.8, 3B-2.9</w:t>
            </w:r>
          </w:p>
        </w:tc>
      </w:tr>
      <w:tr w:rsidR="00CE0EC9" w:rsidRPr="00CE0EC9" w:rsidTr="00CE0EC9">
        <w:trPr>
          <w:trHeight w:hRule="exact" w:val="287"/>
        </w:trPr>
        <w:tc>
          <w:tcPr>
            <w:tcW w:w="5209" w:type="dxa"/>
            <w:gridSpan w:val="4"/>
            <w:tcBorders>
              <w:top w:val="single" w:sz="8" w:space="0" w:color="auto"/>
              <w:left w:val="single" w:sz="4" w:space="0" w:color="auto"/>
              <w:bottom w:val="single" w:sz="8" w:space="0" w:color="auto"/>
              <w:right w:val="single" w:sz="8" w:space="0" w:color="000000"/>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3.HMIS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6c1</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3B-2.5</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 xml:space="preserve"> Total pts 13</w:t>
            </w:r>
          </w:p>
        </w:tc>
        <w:tc>
          <w:tcPr>
            <w:tcW w:w="772"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6c2</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5</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3B-2.6</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3a</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2A-1, 2A-1a, Attachments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6c3</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7</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3B-2.7</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2A-1, 2A-1a, Attachments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6c4</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3B-2.8</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3c</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2A-7</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6d1</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8</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3d</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6</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20"/>
              </w:rPr>
            </w:pPr>
            <w:r w:rsidRPr="00CE0EC9">
              <w:rPr>
                <w:rFonts w:ascii="Calibri" w:eastAsia="Times New Roman" w:hAnsi="Calibri" w:cs="Times New Roman"/>
                <w:color w:val="000000"/>
                <w:sz w:val="20"/>
                <w:szCs w:val="20"/>
              </w:rPr>
              <w:t>2A-5, 2A-5a, 2C-2a, 3B-1, 3B-1.1, 4A-6</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6d2</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4</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3e</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2A-6</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6d3</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3B-3.1, 3B-3.2, 3B-3.3</w:t>
            </w:r>
          </w:p>
        </w:tc>
      </w:tr>
      <w:tr w:rsidR="00CE0EC9" w:rsidRPr="00CE0EC9" w:rsidTr="00CE0EC9">
        <w:trPr>
          <w:trHeight w:hRule="exact" w:val="287"/>
        </w:trPr>
        <w:tc>
          <w:tcPr>
            <w:tcW w:w="5209" w:type="dxa"/>
            <w:gridSpan w:val="4"/>
            <w:tcBorders>
              <w:top w:val="single" w:sz="8" w:space="0" w:color="auto"/>
              <w:left w:val="single" w:sz="4" w:space="0" w:color="auto"/>
              <w:bottom w:val="single" w:sz="8" w:space="0" w:color="auto"/>
              <w:right w:val="single" w:sz="8" w:space="0" w:color="000000"/>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highlight w:val="yellow"/>
              </w:rPr>
              <w:t>4. PIT</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C5E0B3" w:themeFill="accent6" w:themeFillTint="66"/>
            <w:noWrap/>
            <w:vAlign w:val="bottom"/>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3351" w:type="dxa"/>
            <w:gridSpan w:val="3"/>
            <w:tcBorders>
              <w:top w:val="single" w:sz="8" w:space="0" w:color="auto"/>
              <w:left w:val="nil"/>
              <w:bottom w:val="nil"/>
              <w:right w:val="single" w:sz="4" w:space="0" w:color="auto"/>
            </w:tcBorders>
            <w:shd w:val="clear" w:color="000000" w:fill="92D050"/>
            <w:noWrap/>
            <w:vAlign w:val="bottom"/>
            <w:hideMark/>
          </w:tcPr>
          <w:p w:rsidR="00CE0EC9" w:rsidRPr="00CE0EC9" w:rsidRDefault="00CE0EC9" w:rsidP="00CE0EC9">
            <w:pPr>
              <w:spacing w:after="0" w:line="240" w:lineRule="auto"/>
              <w:rPr>
                <w:rFonts w:ascii="Calibri" w:eastAsia="Times New Roman" w:hAnsi="Calibri" w:cs="Times New Roman"/>
                <w:b/>
                <w:bCs/>
                <w:i/>
                <w:iCs/>
                <w:color w:val="000000"/>
                <w:sz w:val="20"/>
                <w:szCs w:val="28"/>
              </w:rPr>
            </w:pPr>
            <w:r w:rsidRPr="00CE0EC9">
              <w:rPr>
                <w:rFonts w:ascii="Calibri" w:eastAsia="Times New Roman" w:hAnsi="Calibri" w:cs="Times New Roman"/>
                <w:b/>
                <w:bCs/>
                <w:i/>
                <w:iCs/>
                <w:color w:val="000000"/>
                <w:sz w:val="20"/>
                <w:szCs w:val="28"/>
              </w:rPr>
              <w:t>200 Total Points Available</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highlight w:val="yellow"/>
              </w:rPr>
              <w:t>Total pts 6</w:t>
            </w:r>
          </w:p>
        </w:tc>
        <w:tc>
          <w:tcPr>
            <w:tcW w:w="772"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C5E0B3" w:themeFill="accent6" w:themeFillTint="66"/>
            <w:noWrap/>
            <w:vAlign w:val="bottom"/>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3351" w:type="dxa"/>
            <w:gridSpan w:val="3"/>
            <w:tcBorders>
              <w:top w:val="single" w:sz="8" w:space="0" w:color="auto"/>
              <w:left w:val="nil"/>
              <w:bottom w:val="single" w:sz="8" w:space="0" w:color="auto"/>
              <w:right w:val="single" w:sz="4"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 xml:space="preserve">Estimated MCOC Points </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4a</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2B-1, 2B-2</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4291" w:type="dxa"/>
            <w:gridSpan w:val="4"/>
            <w:tcBorders>
              <w:top w:val="single" w:sz="8" w:space="0" w:color="auto"/>
              <w:left w:val="nil"/>
              <w:bottom w:val="single" w:sz="8" w:space="0" w:color="auto"/>
              <w:right w:val="single" w:sz="4" w:space="0" w:color="auto"/>
            </w:tcBorders>
            <w:shd w:val="clear" w:color="000000" w:fill="F088DC"/>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rPr>
              <w:t>7. Merger Bonus</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4b</w:t>
            </w:r>
          </w:p>
        </w:tc>
        <w:tc>
          <w:tcPr>
            <w:tcW w:w="704" w:type="dxa"/>
            <w:tcBorders>
              <w:top w:val="nil"/>
              <w:left w:val="nil"/>
              <w:bottom w:val="single" w:sz="8" w:space="0" w:color="auto"/>
              <w:right w:val="single" w:sz="8" w:space="0" w:color="auto"/>
            </w:tcBorders>
            <w:shd w:val="clear" w:color="000000" w:fill="92D05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20"/>
              </w:rPr>
            </w:pPr>
            <w:r w:rsidRPr="00CE0EC9">
              <w:rPr>
                <w:rFonts w:ascii="Calibri" w:eastAsia="Times New Roman" w:hAnsi="Calibri" w:cs="Times New Roman"/>
                <w:color w:val="000000"/>
                <w:sz w:val="20"/>
                <w:szCs w:val="20"/>
              </w:rPr>
              <w:t>?2C-1, ?2C-4, 2C-4a,  2C-5, 2C-5a, 2C-6</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Total pts 25</w:t>
            </w:r>
          </w:p>
        </w:tc>
        <w:tc>
          <w:tcPr>
            <w:tcW w:w="781"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r>
      <w:tr w:rsidR="00CE0EC9" w:rsidRPr="00CE0EC9" w:rsidTr="00CE0EC9">
        <w:trPr>
          <w:trHeight w:hRule="exact" w:val="287"/>
        </w:trPr>
        <w:tc>
          <w:tcPr>
            <w:tcW w:w="5209" w:type="dxa"/>
            <w:gridSpan w:val="4"/>
            <w:tcBorders>
              <w:top w:val="single" w:sz="8" w:space="0" w:color="auto"/>
              <w:left w:val="single" w:sz="4" w:space="0" w:color="auto"/>
              <w:bottom w:val="single" w:sz="8" w:space="0" w:color="auto"/>
              <w:right w:val="single" w:sz="8" w:space="0" w:color="000000"/>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b/>
                <w:bCs/>
                <w:color w:val="000000"/>
                <w:sz w:val="20"/>
                <w:szCs w:val="24"/>
              </w:rPr>
            </w:pPr>
            <w:r w:rsidRPr="00CE0EC9">
              <w:rPr>
                <w:rFonts w:ascii="Calibri" w:eastAsia="Times New Roman" w:hAnsi="Calibri" w:cs="Times New Roman"/>
                <w:b/>
                <w:bCs/>
                <w:color w:val="000000"/>
                <w:sz w:val="20"/>
                <w:szCs w:val="24"/>
                <w:highlight w:val="yellow"/>
              </w:rPr>
              <w:t>5. Sys PM</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7a</w:t>
            </w:r>
          </w:p>
        </w:tc>
        <w:tc>
          <w:tcPr>
            <w:tcW w:w="704"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5</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highlight w:val="yellow"/>
              </w:rPr>
              <w:t xml:space="preserve"> Total  pts 49</w:t>
            </w:r>
          </w:p>
        </w:tc>
        <w:tc>
          <w:tcPr>
            <w:tcW w:w="772"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NOFA Q#</w:t>
            </w:r>
          </w:p>
        </w:tc>
        <w:tc>
          <w:tcPr>
            <w:tcW w:w="704" w:type="dxa"/>
            <w:tcBorders>
              <w:top w:val="nil"/>
              <w:left w:val="nil"/>
              <w:bottom w:val="single" w:sz="8" w:space="0" w:color="auto"/>
              <w:right w:val="single" w:sz="8" w:space="0" w:color="auto"/>
            </w:tcBorders>
            <w:shd w:val="clear" w:color="000000" w:fill="FFFF00"/>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pts/Q</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szCs w:val="18"/>
              </w:rPr>
            </w:pPr>
            <w:r w:rsidRPr="00CE0EC9">
              <w:rPr>
                <w:rFonts w:ascii="Calibri" w:eastAsia="Times New Roman" w:hAnsi="Calibri" w:cs="Times New Roman"/>
                <w:color w:val="000000"/>
                <w:sz w:val="20"/>
                <w:szCs w:val="18"/>
              </w:rPr>
              <w:t>Application sections</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7b</w:t>
            </w:r>
          </w:p>
        </w:tc>
        <w:tc>
          <w:tcPr>
            <w:tcW w:w="704"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10</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5a1</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2</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81"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7c</w:t>
            </w:r>
          </w:p>
        </w:tc>
        <w:tc>
          <w:tcPr>
            <w:tcW w:w="704" w:type="dxa"/>
            <w:tcBorders>
              <w:top w:val="nil"/>
              <w:left w:val="nil"/>
              <w:bottom w:val="single" w:sz="8" w:space="0" w:color="auto"/>
              <w:right w:val="single" w:sz="8" w:space="0" w:color="auto"/>
            </w:tcBorders>
            <w:shd w:val="clear" w:color="000000" w:fill="F088DC"/>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10</w:t>
            </w:r>
          </w:p>
        </w:tc>
        <w:tc>
          <w:tcPr>
            <w:tcW w:w="1865" w:type="dxa"/>
            <w:tcBorders>
              <w:top w:val="nil"/>
              <w:left w:val="nil"/>
              <w:bottom w:val="single" w:sz="8" w:space="0" w:color="auto"/>
              <w:right w:val="single" w:sz="4"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r>
      <w:tr w:rsidR="00CE0EC9" w:rsidRPr="00CE0EC9" w:rsidTr="00CE0EC9">
        <w:trPr>
          <w:trHeight w:val="287"/>
        </w:trPr>
        <w:tc>
          <w:tcPr>
            <w:tcW w:w="978" w:type="dxa"/>
            <w:tcBorders>
              <w:top w:val="nil"/>
              <w:left w:val="single" w:sz="4"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5a2</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5</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nil"/>
              <w:left w:val="nil"/>
              <w:bottom w:val="nil"/>
              <w:right w:val="nil"/>
            </w:tcBorders>
            <w:shd w:val="clear" w:color="auto" w:fill="DABACE"/>
            <w:noWrap/>
            <w:vAlign w:val="bottom"/>
            <w:hideMark/>
          </w:tcPr>
          <w:p w:rsidR="00CE0EC9" w:rsidRPr="00CE0EC9" w:rsidRDefault="00CE0EC9" w:rsidP="00CE0EC9">
            <w:pPr>
              <w:spacing w:after="0" w:line="240" w:lineRule="auto"/>
              <w:rPr>
                <w:rFonts w:ascii="Calibri" w:eastAsia="Times New Roman" w:hAnsi="Calibri" w:cs="Times New Roman"/>
                <w:color w:val="000000"/>
                <w:sz w:val="20"/>
              </w:rPr>
            </w:pPr>
          </w:p>
        </w:tc>
        <w:tc>
          <w:tcPr>
            <w:tcW w:w="3351" w:type="dxa"/>
            <w:gridSpan w:val="3"/>
            <w:tcBorders>
              <w:top w:val="single" w:sz="8" w:space="0" w:color="auto"/>
              <w:left w:val="single" w:sz="8" w:space="0" w:color="auto"/>
              <w:bottom w:val="single" w:sz="8" w:space="0" w:color="auto"/>
              <w:right w:val="single" w:sz="4" w:space="0" w:color="auto"/>
            </w:tcBorders>
            <w:shd w:val="clear" w:color="000000" w:fill="F088DC"/>
            <w:vAlign w:val="center"/>
            <w:hideMark/>
          </w:tcPr>
          <w:p w:rsidR="00CE0EC9" w:rsidRPr="00CE0EC9" w:rsidRDefault="00CE0EC9" w:rsidP="00CE0EC9">
            <w:pPr>
              <w:spacing w:after="0" w:line="240" w:lineRule="auto"/>
              <w:rPr>
                <w:rFonts w:ascii="Calibri" w:eastAsia="Times New Roman" w:hAnsi="Calibri" w:cs="Times New Roman"/>
                <w:b/>
                <w:bCs/>
                <w:color w:val="000000"/>
                <w:sz w:val="20"/>
              </w:rPr>
            </w:pPr>
            <w:r w:rsidRPr="00CE0EC9">
              <w:rPr>
                <w:rFonts w:ascii="Calibri" w:eastAsia="Times New Roman" w:hAnsi="Calibri" w:cs="Times New Roman"/>
                <w:b/>
                <w:bCs/>
                <w:color w:val="000000"/>
                <w:sz w:val="20"/>
              </w:rPr>
              <w:t>25 Merger Bonus Points Available</w:t>
            </w:r>
          </w:p>
        </w:tc>
      </w:tr>
      <w:tr w:rsidR="00CE0EC9" w:rsidRPr="00CE0EC9" w:rsidTr="00CE0EC9">
        <w:trPr>
          <w:trHeight w:val="287"/>
        </w:trPr>
        <w:tc>
          <w:tcPr>
            <w:tcW w:w="978" w:type="dxa"/>
            <w:tcBorders>
              <w:top w:val="nil"/>
              <w:left w:val="single" w:sz="8" w:space="0" w:color="auto"/>
              <w:bottom w:val="single" w:sz="8" w:space="0" w:color="auto"/>
              <w:right w:val="single" w:sz="8" w:space="0" w:color="auto"/>
            </w:tcBorders>
            <w:shd w:val="clear" w:color="auto" w:fill="auto"/>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772"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5a3</w:t>
            </w:r>
          </w:p>
        </w:tc>
        <w:tc>
          <w:tcPr>
            <w:tcW w:w="704" w:type="dxa"/>
            <w:tcBorders>
              <w:top w:val="nil"/>
              <w:left w:val="nil"/>
              <w:bottom w:val="single" w:sz="8" w:space="0" w:color="auto"/>
              <w:right w:val="single" w:sz="8" w:space="0" w:color="auto"/>
            </w:tcBorders>
            <w:shd w:val="clear" w:color="000000" w:fill="9CC2E5"/>
            <w:vAlign w:val="center"/>
            <w:hideMark/>
          </w:tcPr>
          <w:p w:rsidR="00CE0EC9" w:rsidRPr="00CE0EC9" w:rsidRDefault="00CE0EC9" w:rsidP="00CE0EC9">
            <w:pPr>
              <w:spacing w:after="0" w:line="240" w:lineRule="auto"/>
              <w:jc w:val="center"/>
              <w:rPr>
                <w:rFonts w:ascii="Calibri" w:eastAsia="Times New Roman" w:hAnsi="Calibri" w:cs="Times New Roman"/>
                <w:color w:val="000000"/>
                <w:sz w:val="20"/>
              </w:rPr>
            </w:pPr>
            <w:r w:rsidRPr="00CE0EC9">
              <w:rPr>
                <w:rFonts w:ascii="Calibri" w:eastAsia="Times New Roman" w:hAnsi="Calibri" w:cs="Times New Roman"/>
                <w:color w:val="000000"/>
                <w:sz w:val="20"/>
              </w:rPr>
              <w:t>3</w:t>
            </w:r>
          </w:p>
        </w:tc>
        <w:tc>
          <w:tcPr>
            <w:tcW w:w="2754" w:type="dxa"/>
            <w:tcBorders>
              <w:top w:val="nil"/>
              <w:left w:val="nil"/>
              <w:bottom w:val="single" w:sz="8" w:space="0" w:color="auto"/>
              <w:right w:val="single" w:sz="8" w:space="0" w:color="auto"/>
            </w:tcBorders>
            <w:shd w:val="clear" w:color="000000" w:fill="F8CBAD"/>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HDX</w:t>
            </w:r>
          </w:p>
        </w:tc>
        <w:tc>
          <w:tcPr>
            <w:tcW w:w="271" w:type="dxa"/>
            <w:tcBorders>
              <w:top w:val="nil"/>
              <w:left w:val="nil"/>
              <w:bottom w:val="single" w:sz="8" w:space="0" w:color="auto"/>
              <w:right w:val="single" w:sz="8" w:space="0" w:color="auto"/>
            </w:tcBorders>
            <w:shd w:val="clear" w:color="000000" w:fill="404040"/>
            <w:vAlign w:val="center"/>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940" w:type="dxa"/>
            <w:tcBorders>
              <w:top w:val="single" w:sz="8" w:space="0" w:color="auto"/>
              <w:left w:val="nil"/>
              <w:bottom w:val="single" w:sz="8" w:space="0" w:color="auto"/>
              <w:right w:val="single" w:sz="8" w:space="0" w:color="auto"/>
            </w:tcBorders>
            <w:shd w:val="clear" w:color="auto" w:fill="DABACE"/>
            <w:noWrap/>
            <w:vAlign w:val="bottom"/>
            <w:hideMark/>
          </w:tcPr>
          <w:p w:rsidR="00CE0EC9" w:rsidRPr="00CE0EC9" w:rsidRDefault="00CE0EC9" w:rsidP="00CE0EC9">
            <w:pPr>
              <w:spacing w:after="0" w:line="240" w:lineRule="auto"/>
              <w:rPr>
                <w:rFonts w:ascii="Calibri" w:eastAsia="Times New Roman" w:hAnsi="Calibri" w:cs="Times New Roman"/>
                <w:color w:val="000000"/>
                <w:sz w:val="20"/>
              </w:rPr>
            </w:pPr>
            <w:r w:rsidRPr="00CE0EC9">
              <w:rPr>
                <w:rFonts w:ascii="Calibri" w:eastAsia="Times New Roman" w:hAnsi="Calibri" w:cs="Times New Roman"/>
                <w:color w:val="000000"/>
                <w:sz w:val="20"/>
              </w:rPr>
              <w:t> </w:t>
            </w:r>
          </w:p>
        </w:tc>
        <w:tc>
          <w:tcPr>
            <w:tcW w:w="3351" w:type="dxa"/>
            <w:gridSpan w:val="3"/>
            <w:tcBorders>
              <w:top w:val="single" w:sz="8" w:space="0" w:color="auto"/>
              <w:left w:val="nil"/>
              <w:bottom w:val="single" w:sz="8" w:space="0" w:color="auto"/>
              <w:right w:val="single" w:sz="4" w:space="0" w:color="auto"/>
            </w:tcBorders>
            <w:shd w:val="clear" w:color="000000" w:fill="F088DC"/>
            <w:vAlign w:val="center"/>
            <w:hideMark/>
          </w:tcPr>
          <w:p w:rsidR="00CE0EC9" w:rsidRPr="00CE0EC9" w:rsidRDefault="00CE0EC9" w:rsidP="00CE0EC9">
            <w:pPr>
              <w:spacing w:after="0" w:line="240" w:lineRule="auto"/>
              <w:rPr>
                <w:rFonts w:ascii="Calibri" w:eastAsia="Times New Roman" w:hAnsi="Calibri" w:cs="Times New Roman"/>
                <w:b/>
                <w:bCs/>
                <w:color w:val="000000"/>
                <w:sz w:val="20"/>
              </w:rPr>
            </w:pPr>
            <w:r w:rsidRPr="00CE0EC9">
              <w:rPr>
                <w:rFonts w:ascii="Calibri" w:eastAsia="Times New Roman" w:hAnsi="Calibri" w:cs="Times New Roman"/>
                <w:b/>
                <w:bCs/>
                <w:color w:val="000000"/>
                <w:sz w:val="20"/>
              </w:rPr>
              <w:t xml:space="preserve">Estimated MCOC Merger Bonus  </w:t>
            </w:r>
          </w:p>
        </w:tc>
      </w:tr>
    </w:tbl>
    <w:p w:rsidR="006F7200" w:rsidRDefault="006F7200" w:rsidP="00696C27">
      <w:bookmarkStart w:id="1" w:name="_GoBack"/>
      <w:bookmarkEnd w:id="1"/>
    </w:p>
    <w:sectPr w:rsidR="006F7200" w:rsidSect="00CE0E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00B6"/>
    <w:multiLevelType w:val="hybridMultilevel"/>
    <w:tmpl w:val="1BE2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00"/>
    <w:rsid w:val="0000160D"/>
    <w:rsid w:val="00042296"/>
    <w:rsid w:val="000B7425"/>
    <w:rsid w:val="000D547C"/>
    <w:rsid w:val="00161AEE"/>
    <w:rsid w:val="001A2467"/>
    <w:rsid w:val="0023153A"/>
    <w:rsid w:val="00343093"/>
    <w:rsid w:val="003A0E73"/>
    <w:rsid w:val="003B5D4D"/>
    <w:rsid w:val="003C2A62"/>
    <w:rsid w:val="004102A3"/>
    <w:rsid w:val="004C507F"/>
    <w:rsid w:val="00543DA2"/>
    <w:rsid w:val="0060643D"/>
    <w:rsid w:val="00670F52"/>
    <w:rsid w:val="00696C27"/>
    <w:rsid w:val="006F7200"/>
    <w:rsid w:val="007109FB"/>
    <w:rsid w:val="007C0017"/>
    <w:rsid w:val="00821CF1"/>
    <w:rsid w:val="0084286C"/>
    <w:rsid w:val="00A70ABB"/>
    <w:rsid w:val="00A94F2A"/>
    <w:rsid w:val="00AB6189"/>
    <w:rsid w:val="00BA77A8"/>
    <w:rsid w:val="00BE2406"/>
    <w:rsid w:val="00C270B6"/>
    <w:rsid w:val="00C760AF"/>
    <w:rsid w:val="00CE0EC9"/>
    <w:rsid w:val="00D062A3"/>
    <w:rsid w:val="00DA475D"/>
    <w:rsid w:val="00DA4C04"/>
    <w:rsid w:val="00D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B1A0A-905B-47F5-92B7-A359AD0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AE7"/>
    <w:pPr>
      <w:ind w:left="720"/>
      <w:contextualSpacing/>
    </w:pPr>
  </w:style>
  <w:style w:type="paragraph" w:styleId="BalloonText">
    <w:name w:val="Balloon Text"/>
    <w:basedOn w:val="Normal"/>
    <w:link w:val="BalloonTextChar"/>
    <w:uiPriority w:val="99"/>
    <w:semiHidden/>
    <w:unhideWhenUsed/>
    <w:rsid w:val="00AB6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91946">
      <w:bodyDiv w:val="1"/>
      <w:marLeft w:val="0"/>
      <w:marRight w:val="0"/>
      <w:marTop w:val="0"/>
      <w:marBottom w:val="0"/>
      <w:divBdr>
        <w:top w:val="none" w:sz="0" w:space="0" w:color="auto"/>
        <w:left w:val="none" w:sz="0" w:space="0" w:color="auto"/>
        <w:bottom w:val="none" w:sz="0" w:space="0" w:color="auto"/>
        <w:right w:val="none" w:sz="0" w:space="0" w:color="auto"/>
      </w:divBdr>
    </w:div>
    <w:div w:id="10826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12</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8</cp:revision>
  <cp:lastPrinted>2017-07-24T14:27:00Z</cp:lastPrinted>
  <dcterms:created xsi:type="dcterms:W3CDTF">2017-07-18T17:36:00Z</dcterms:created>
  <dcterms:modified xsi:type="dcterms:W3CDTF">2017-07-24T19:41:00Z</dcterms:modified>
</cp:coreProperties>
</file>