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37" w:type="dxa"/>
        <w:tblInd w:w="-162" w:type="dxa"/>
        <w:tblLayout w:type="fixed"/>
        <w:tblLook w:val="04A0" w:firstRow="1" w:lastRow="0" w:firstColumn="1" w:lastColumn="0" w:noHBand="0" w:noVBand="1"/>
        <w:tblCaption w:val="4C. Attachments"/>
      </w:tblPr>
      <w:tblGrid>
        <w:gridCol w:w="7357"/>
        <w:gridCol w:w="540"/>
        <w:gridCol w:w="1170"/>
        <w:gridCol w:w="630"/>
        <w:gridCol w:w="1080"/>
        <w:gridCol w:w="360"/>
      </w:tblGrid>
      <w:tr w:rsidR="00213700" w:rsidRPr="000507B7" w:rsidTr="00DD7365">
        <w:tc>
          <w:tcPr>
            <w:tcW w:w="7357" w:type="dxa"/>
          </w:tcPr>
          <w:p w:rsidR="00213700" w:rsidRPr="000507B7" w:rsidRDefault="00213700" w:rsidP="007C2B0D">
            <w:pPr>
              <w:jc w:val="center"/>
              <w:rPr>
                <w:rFonts w:cstheme="minorHAnsi"/>
                <w:b/>
                <w:sz w:val="20"/>
              </w:rPr>
            </w:pPr>
            <w:r w:rsidRPr="000507B7">
              <w:rPr>
                <w:rFonts w:cstheme="minorHAnsi"/>
                <w:b/>
                <w:sz w:val="20"/>
              </w:rPr>
              <w:t>FY 2017 MCOC NOFA Application</w:t>
            </w:r>
          </w:p>
          <w:p w:rsidR="00213700" w:rsidRPr="000507B7" w:rsidRDefault="00213700" w:rsidP="007C2B0D">
            <w:pPr>
              <w:jc w:val="center"/>
              <w:rPr>
                <w:rFonts w:cstheme="minorHAnsi"/>
                <w:b/>
                <w:sz w:val="20"/>
              </w:rPr>
            </w:pPr>
            <w:r w:rsidRPr="000507B7">
              <w:rPr>
                <w:rFonts w:cstheme="minorHAnsi"/>
                <w:b/>
                <w:sz w:val="20"/>
              </w:rPr>
              <w:t>Review of Action Steps</w:t>
            </w:r>
          </w:p>
        </w:tc>
        <w:tc>
          <w:tcPr>
            <w:tcW w:w="54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213700" w:rsidRPr="000507B7" w:rsidRDefault="00213700" w:rsidP="006673C2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60" w:type="dxa"/>
          </w:tcPr>
          <w:p w:rsidR="00213700" w:rsidRPr="000507B7" w:rsidRDefault="00213700" w:rsidP="00213700">
            <w:pPr>
              <w:jc w:val="center"/>
              <w:rPr>
                <w:rFonts w:cstheme="minorHAnsi"/>
                <w:b/>
                <w:sz w:val="20"/>
              </w:rPr>
            </w:pPr>
            <w:r w:rsidRPr="000507B7">
              <w:rPr>
                <w:rFonts w:cstheme="minorHAnsi"/>
                <w:b/>
                <w:sz w:val="20"/>
              </w:rPr>
              <w:t>DONE</w:t>
            </w:r>
          </w:p>
        </w:tc>
      </w:tr>
      <w:tr w:rsidR="00213700" w:rsidRPr="000507B7" w:rsidTr="00DD7365">
        <w:tc>
          <w:tcPr>
            <w:tcW w:w="7357" w:type="dxa"/>
            <w:shd w:val="clear" w:color="auto" w:fill="D99594" w:themeFill="accent2" w:themeFillTint="99"/>
          </w:tcPr>
          <w:p w:rsidR="00213700" w:rsidRPr="000507B7" w:rsidRDefault="00213700" w:rsidP="00C60C1F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540" w:type="dxa"/>
            <w:shd w:val="clear" w:color="auto" w:fill="D99594" w:themeFill="accent2" w:themeFillTint="99"/>
          </w:tcPr>
          <w:p w:rsidR="00213700" w:rsidRPr="001322C8" w:rsidRDefault="00213700" w:rsidP="00537125">
            <w:pPr>
              <w:jc w:val="center"/>
              <w:rPr>
                <w:rFonts w:cstheme="minorHAnsi"/>
                <w:b/>
                <w:sz w:val="18"/>
              </w:rPr>
            </w:pPr>
            <w:r w:rsidRPr="001322C8">
              <w:rPr>
                <w:rFonts w:cstheme="minorHAnsi"/>
                <w:b/>
                <w:sz w:val="18"/>
              </w:rPr>
              <w:t>CA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213700" w:rsidRPr="001322C8" w:rsidRDefault="00213700" w:rsidP="00537125">
            <w:pPr>
              <w:jc w:val="center"/>
              <w:rPr>
                <w:rFonts w:cstheme="minorHAnsi"/>
                <w:b/>
                <w:sz w:val="18"/>
              </w:rPr>
            </w:pPr>
            <w:r w:rsidRPr="001322C8">
              <w:rPr>
                <w:rFonts w:cstheme="minorHAnsi"/>
                <w:b/>
                <w:sz w:val="18"/>
              </w:rPr>
              <w:t>Consultants</w:t>
            </w:r>
          </w:p>
        </w:tc>
        <w:tc>
          <w:tcPr>
            <w:tcW w:w="630" w:type="dxa"/>
            <w:shd w:val="clear" w:color="auto" w:fill="D99594" w:themeFill="accent2" w:themeFillTint="99"/>
          </w:tcPr>
          <w:p w:rsidR="00213700" w:rsidRPr="001322C8" w:rsidRDefault="00213700" w:rsidP="00537125">
            <w:pPr>
              <w:jc w:val="center"/>
              <w:rPr>
                <w:rFonts w:cstheme="minorHAnsi"/>
                <w:b/>
                <w:sz w:val="18"/>
              </w:rPr>
            </w:pPr>
            <w:r w:rsidRPr="001322C8">
              <w:rPr>
                <w:rFonts w:cstheme="minorHAnsi"/>
                <w:b/>
                <w:sz w:val="18"/>
              </w:rPr>
              <w:t>CoC</w:t>
            </w:r>
          </w:p>
        </w:tc>
        <w:tc>
          <w:tcPr>
            <w:tcW w:w="1080" w:type="dxa"/>
            <w:shd w:val="clear" w:color="auto" w:fill="D99594" w:themeFill="accent2" w:themeFillTint="99"/>
          </w:tcPr>
          <w:p w:rsidR="00213700" w:rsidRPr="001322C8" w:rsidRDefault="00213700" w:rsidP="006673C2">
            <w:pPr>
              <w:jc w:val="center"/>
              <w:rPr>
                <w:rFonts w:cstheme="minorHAnsi"/>
                <w:b/>
                <w:sz w:val="18"/>
              </w:rPr>
            </w:pPr>
            <w:r w:rsidRPr="001322C8">
              <w:rPr>
                <w:rFonts w:cstheme="minorHAnsi"/>
                <w:b/>
                <w:sz w:val="18"/>
              </w:rPr>
              <w:t>Committee</w:t>
            </w:r>
          </w:p>
        </w:tc>
        <w:tc>
          <w:tcPr>
            <w:tcW w:w="360" w:type="dxa"/>
            <w:shd w:val="clear" w:color="auto" w:fill="D99594" w:themeFill="accent2" w:themeFillTint="99"/>
          </w:tcPr>
          <w:p w:rsidR="00213700" w:rsidRPr="000507B7" w:rsidRDefault="00213700" w:rsidP="006673C2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13700" w:rsidRPr="000507B7" w:rsidTr="00DD7365">
        <w:tc>
          <w:tcPr>
            <w:tcW w:w="7357" w:type="dxa"/>
            <w:shd w:val="clear" w:color="auto" w:fill="95B3D7" w:themeFill="accent1" w:themeFillTint="99"/>
          </w:tcPr>
          <w:p w:rsidR="00213700" w:rsidRPr="000507B7" w:rsidRDefault="00213700" w:rsidP="008E719E">
            <w:pPr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b/>
                <w:sz w:val="20"/>
              </w:rPr>
              <w:t>HUD Releases GIW to Collaborative Applicants:</w:t>
            </w:r>
            <w:r w:rsidRPr="000507B7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540" w:type="dxa"/>
            <w:shd w:val="clear" w:color="auto" w:fill="95B3D7" w:themeFill="accent1" w:themeFillTint="99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shd w:val="clear" w:color="auto" w:fill="95B3D7" w:themeFill="accent1" w:themeFillTint="99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shd w:val="clear" w:color="auto" w:fill="95B3D7" w:themeFill="accent1" w:themeFillTint="99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  <w:shd w:val="clear" w:color="auto" w:fill="95B3D7" w:themeFill="accent1" w:themeFillTint="99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60" w:type="dxa"/>
            <w:shd w:val="clear" w:color="auto" w:fill="95B3D7" w:themeFill="accent1" w:themeFillTint="99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213700" w:rsidRPr="000507B7" w:rsidTr="00DD7365">
        <w:tc>
          <w:tcPr>
            <w:tcW w:w="7357" w:type="dxa"/>
          </w:tcPr>
          <w:p w:rsidR="00213700" w:rsidRPr="000507B7" w:rsidRDefault="00213700" w:rsidP="001560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</w:rPr>
            </w:pPr>
            <w:r w:rsidRPr="000507B7">
              <w:rPr>
                <w:rFonts w:cstheme="minorHAnsi"/>
                <w:sz w:val="20"/>
              </w:rPr>
              <w:t>Usually 2-3 weeks to return DRAFT to HUD. The final version is returned to the CoC within 6-8 weeks of the o</w:t>
            </w:r>
            <w:r w:rsidR="00D05349">
              <w:rPr>
                <w:rFonts w:cstheme="minorHAnsi"/>
                <w:sz w:val="20"/>
              </w:rPr>
              <w:t>riginal announcement. (2017 GIW not final)</w:t>
            </w:r>
          </w:p>
        </w:tc>
        <w:tc>
          <w:tcPr>
            <w:tcW w:w="54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794557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213700" w:rsidRPr="000507B7" w:rsidRDefault="00D05349" w:rsidP="00D47526">
                <w:pPr>
                  <w:jc w:val="center"/>
                  <w:rPr>
                    <w:rFonts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☒</w:t>
                </w:r>
              </w:p>
            </w:tc>
          </w:sdtContent>
        </w:sdt>
      </w:tr>
      <w:tr w:rsidR="00213700" w:rsidRPr="000507B7" w:rsidTr="00DD7365">
        <w:tc>
          <w:tcPr>
            <w:tcW w:w="7357" w:type="dxa"/>
            <w:shd w:val="clear" w:color="auto" w:fill="95B3D7" w:themeFill="accent1" w:themeFillTint="99"/>
          </w:tcPr>
          <w:p w:rsidR="00213700" w:rsidRPr="000507B7" w:rsidRDefault="00213700" w:rsidP="00C60C1F">
            <w:pPr>
              <w:rPr>
                <w:rFonts w:cstheme="minorHAnsi"/>
                <w:b/>
                <w:sz w:val="20"/>
              </w:rPr>
            </w:pPr>
            <w:r w:rsidRPr="000507B7">
              <w:rPr>
                <w:rFonts w:cstheme="minorHAnsi"/>
                <w:b/>
                <w:sz w:val="20"/>
              </w:rPr>
              <w:t>HUD Announces that Registration is open:</w:t>
            </w:r>
          </w:p>
        </w:tc>
        <w:tc>
          <w:tcPr>
            <w:tcW w:w="540" w:type="dxa"/>
            <w:shd w:val="clear" w:color="auto" w:fill="95B3D7" w:themeFill="accent1" w:themeFillTint="99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shd w:val="clear" w:color="auto" w:fill="95B3D7" w:themeFill="accent1" w:themeFillTint="99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shd w:val="clear" w:color="auto" w:fill="95B3D7" w:themeFill="accent1" w:themeFillTint="99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  <w:shd w:val="clear" w:color="auto" w:fill="95B3D7" w:themeFill="accent1" w:themeFillTint="99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60" w:type="dxa"/>
            <w:shd w:val="clear" w:color="auto" w:fill="95B3D7" w:themeFill="accent1" w:themeFillTint="99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213700" w:rsidRPr="000507B7" w:rsidTr="00DD7365">
        <w:tc>
          <w:tcPr>
            <w:tcW w:w="7357" w:type="dxa"/>
          </w:tcPr>
          <w:p w:rsidR="00213700" w:rsidRPr="000507B7" w:rsidRDefault="00213700" w:rsidP="001560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</w:rPr>
            </w:pPr>
            <w:r w:rsidRPr="000507B7">
              <w:rPr>
                <w:rFonts w:cstheme="minorHAnsi"/>
                <w:sz w:val="20"/>
              </w:rPr>
              <w:t>Applicant Profile must be updated in e-snaps. Primary Contact and any other authorized users must be added in e-snaps and HDX and granted appropriate read/write/submit rights.</w:t>
            </w:r>
          </w:p>
        </w:tc>
        <w:tc>
          <w:tcPr>
            <w:tcW w:w="54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1875878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213700" w:rsidRPr="000507B7" w:rsidRDefault="00D05349" w:rsidP="00D47526">
                <w:pPr>
                  <w:jc w:val="center"/>
                  <w:rPr>
                    <w:rFonts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☒</w:t>
                </w:r>
              </w:p>
            </w:tc>
          </w:sdtContent>
        </w:sdt>
      </w:tr>
      <w:tr w:rsidR="00213700" w:rsidRPr="000507B7" w:rsidTr="00DD7365">
        <w:tc>
          <w:tcPr>
            <w:tcW w:w="7357" w:type="dxa"/>
          </w:tcPr>
          <w:p w:rsidR="00213700" w:rsidRPr="000507B7" w:rsidRDefault="00213700" w:rsidP="001560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</w:rPr>
            </w:pPr>
            <w:r w:rsidRPr="000507B7">
              <w:rPr>
                <w:rFonts w:cstheme="minorHAnsi"/>
                <w:sz w:val="20"/>
              </w:rPr>
              <w:t xml:space="preserve">Registration must be completed and the ARD must match what is on the </w:t>
            </w:r>
            <w:r w:rsidR="00D05349">
              <w:rPr>
                <w:rFonts w:cstheme="minorHAnsi"/>
                <w:sz w:val="20"/>
              </w:rPr>
              <w:t>HUD Approved GIW (No ARD in 2017</w:t>
            </w:r>
            <w:r w:rsidRPr="000507B7">
              <w:rPr>
                <w:rFonts w:cstheme="minorHAnsi"/>
                <w:sz w:val="20"/>
              </w:rPr>
              <w:t xml:space="preserve"> as GIWs not finalized yet)</w:t>
            </w:r>
          </w:p>
        </w:tc>
        <w:tc>
          <w:tcPr>
            <w:tcW w:w="54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18787367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213700" w:rsidRPr="000507B7" w:rsidRDefault="00D05349" w:rsidP="00D47526">
                <w:pPr>
                  <w:jc w:val="center"/>
                  <w:rPr>
                    <w:rFonts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☒</w:t>
                </w:r>
              </w:p>
            </w:tc>
          </w:sdtContent>
        </w:sdt>
      </w:tr>
      <w:tr w:rsidR="00213700" w:rsidRPr="000507B7" w:rsidTr="00DD7365">
        <w:tc>
          <w:tcPr>
            <w:tcW w:w="7357" w:type="dxa"/>
          </w:tcPr>
          <w:p w:rsidR="00213700" w:rsidRPr="000507B7" w:rsidRDefault="00213700" w:rsidP="000507B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</w:rPr>
            </w:pPr>
            <w:r w:rsidRPr="000507B7">
              <w:rPr>
                <w:rFonts w:cstheme="minorHAnsi"/>
                <w:sz w:val="20"/>
              </w:rPr>
              <w:t>CoC must vote to approve CA submitting the registration in e-snaps.</w:t>
            </w:r>
          </w:p>
        </w:tc>
        <w:tc>
          <w:tcPr>
            <w:tcW w:w="54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16525503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213700" w:rsidRPr="000507B7" w:rsidRDefault="00D05349" w:rsidP="00D47526">
                <w:pPr>
                  <w:jc w:val="center"/>
                  <w:rPr>
                    <w:rFonts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☒</w:t>
                </w:r>
              </w:p>
            </w:tc>
          </w:sdtContent>
        </w:sdt>
      </w:tr>
      <w:tr w:rsidR="00213700" w:rsidRPr="000507B7" w:rsidTr="00DD7365">
        <w:tc>
          <w:tcPr>
            <w:tcW w:w="7357" w:type="dxa"/>
          </w:tcPr>
          <w:p w:rsidR="00213700" w:rsidRPr="000507B7" w:rsidRDefault="00213700" w:rsidP="000507B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</w:rPr>
            </w:pPr>
            <w:r w:rsidRPr="000507B7">
              <w:rPr>
                <w:rFonts w:cstheme="minorHAnsi"/>
                <w:sz w:val="20"/>
              </w:rPr>
              <w:t>CA submits registration in e-snaps; prints confirmation of submission.</w:t>
            </w:r>
          </w:p>
        </w:tc>
        <w:tc>
          <w:tcPr>
            <w:tcW w:w="54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7828000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213700" w:rsidRPr="000507B7" w:rsidRDefault="00D05349" w:rsidP="00D47526">
                <w:pPr>
                  <w:jc w:val="center"/>
                  <w:rPr>
                    <w:rFonts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☒</w:t>
                </w:r>
              </w:p>
            </w:tc>
          </w:sdtContent>
        </w:sdt>
      </w:tr>
      <w:tr w:rsidR="00213700" w:rsidRPr="000507B7" w:rsidTr="00DD7365">
        <w:tc>
          <w:tcPr>
            <w:tcW w:w="7357" w:type="dxa"/>
            <w:shd w:val="clear" w:color="auto" w:fill="95B3D7" w:themeFill="accent1" w:themeFillTint="99"/>
          </w:tcPr>
          <w:p w:rsidR="00213700" w:rsidRPr="000507B7" w:rsidRDefault="00213700" w:rsidP="008E43C3">
            <w:pPr>
              <w:rPr>
                <w:rFonts w:cstheme="minorHAnsi"/>
                <w:b/>
                <w:sz w:val="20"/>
              </w:rPr>
            </w:pPr>
            <w:r w:rsidRPr="000507B7">
              <w:rPr>
                <w:rFonts w:cstheme="minorHAnsi"/>
                <w:b/>
                <w:sz w:val="20"/>
              </w:rPr>
              <w:t>HUD Opens the NOFA Competition (60 days to complete)</w:t>
            </w:r>
          </w:p>
        </w:tc>
        <w:tc>
          <w:tcPr>
            <w:tcW w:w="540" w:type="dxa"/>
            <w:shd w:val="clear" w:color="auto" w:fill="95B3D7" w:themeFill="accent1" w:themeFillTint="99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shd w:val="clear" w:color="auto" w:fill="95B3D7" w:themeFill="accent1" w:themeFillTint="99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shd w:val="clear" w:color="auto" w:fill="95B3D7" w:themeFill="accent1" w:themeFillTint="99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  <w:shd w:val="clear" w:color="auto" w:fill="95B3D7" w:themeFill="accent1" w:themeFillTint="99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60" w:type="dxa"/>
            <w:shd w:val="clear" w:color="auto" w:fill="95B3D7" w:themeFill="accent1" w:themeFillTint="99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213700" w:rsidRPr="000507B7" w:rsidTr="00DD7365">
        <w:tc>
          <w:tcPr>
            <w:tcW w:w="7357" w:type="dxa"/>
          </w:tcPr>
          <w:p w:rsidR="00213700" w:rsidRPr="000507B7" w:rsidRDefault="00213700" w:rsidP="001560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CA reviews announcement in its entirety and summarizes any changes</w:t>
            </w:r>
          </w:p>
          <w:p w:rsidR="00213700" w:rsidRPr="000507B7" w:rsidRDefault="00213700" w:rsidP="000507B7">
            <w:pPr>
              <w:ind w:left="360"/>
              <w:rPr>
                <w:rFonts w:cstheme="minorHAnsi"/>
                <w:sz w:val="20"/>
              </w:rPr>
            </w:pPr>
          </w:p>
        </w:tc>
        <w:tc>
          <w:tcPr>
            <w:tcW w:w="54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69939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213700" w:rsidRPr="000507B7" w:rsidRDefault="00213700" w:rsidP="00D47526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13700" w:rsidRPr="000507B7" w:rsidTr="00DD7365">
        <w:tc>
          <w:tcPr>
            <w:tcW w:w="7357" w:type="dxa"/>
          </w:tcPr>
          <w:p w:rsidR="00213700" w:rsidRPr="000507B7" w:rsidRDefault="00213700" w:rsidP="001560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CoC needs to determine if they will reallocate and how much</w:t>
            </w:r>
          </w:p>
          <w:p w:rsidR="00213700" w:rsidRPr="000507B7" w:rsidRDefault="00213700" w:rsidP="000507B7">
            <w:pPr>
              <w:ind w:left="360"/>
              <w:rPr>
                <w:rFonts w:cstheme="minorHAnsi"/>
                <w:sz w:val="20"/>
              </w:rPr>
            </w:pPr>
          </w:p>
        </w:tc>
        <w:tc>
          <w:tcPr>
            <w:tcW w:w="54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159959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213700" w:rsidRPr="000507B7" w:rsidRDefault="00213700" w:rsidP="00D47526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13700" w:rsidRPr="000507B7" w:rsidTr="00DD7365">
        <w:tc>
          <w:tcPr>
            <w:tcW w:w="7357" w:type="dxa"/>
          </w:tcPr>
          <w:p w:rsidR="00213700" w:rsidRPr="000507B7" w:rsidRDefault="00213700" w:rsidP="001560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CA may hire a consultant to assist with some sections of the NOFA.</w:t>
            </w:r>
          </w:p>
          <w:p w:rsidR="00213700" w:rsidRPr="000507B7" w:rsidRDefault="00213700" w:rsidP="000507B7">
            <w:pPr>
              <w:ind w:left="360"/>
              <w:rPr>
                <w:rFonts w:cstheme="minorHAnsi"/>
                <w:sz w:val="20"/>
              </w:rPr>
            </w:pPr>
          </w:p>
        </w:tc>
        <w:tc>
          <w:tcPr>
            <w:tcW w:w="54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X</w:t>
            </w:r>
          </w:p>
        </w:tc>
        <w:tc>
          <w:tcPr>
            <w:tcW w:w="63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194873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213700" w:rsidRPr="000507B7" w:rsidRDefault="00213700" w:rsidP="00D47526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13700" w:rsidRPr="000507B7" w:rsidTr="00DD7365">
        <w:tc>
          <w:tcPr>
            <w:tcW w:w="7357" w:type="dxa"/>
          </w:tcPr>
          <w:p w:rsidR="00213700" w:rsidRPr="000507B7" w:rsidRDefault="00213700" w:rsidP="001560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CA develops timeline for due dates with input from the Steering Com.</w:t>
            </w:r>
          </w:p>
          <w:p w:rsidR="00213700" w:rsidRPr="000507B7" w:rsidRDefault="00213700" w:rsidP="000507B7">
            <w:pPr>
              <w:ind w:left="360"/>
              <w:rPr>
                <w:rFonts w:cstheme="minorHAnsi"/>
                <w:sz w:val="20"/>
              </w:rPr>
            </w:pPr>
          </w:p>
        </w:tc>
        <w:tc>
          <w:tcPr>
            <w:tcW w:w="54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213700" w:rsidRPr="000507B7" w:rsidRDefault="001322C8" w:rsidP="006673C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Steering</w:t>
            </w:r>
          </w:p>
        </w:tc>
        <w:sdt>
          <w:sdtPr>
            <w:rPr>
              <w:rFonts w:cstheme="minorHAnsi"/>
              <w:sz w:val="20"/>
            </w:rPr>
            <w:id w:val="39316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213700" w:rsidRPr="000507B7" w:rsidRDefault="00213700" w:rsidP="00D47526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13700" w:rsidRPr="000507B7" w:rsidTr="00DD7365">
        <w:tc>
          <w:tcPr>
            <w:tcW w:w="7357" w:type="dxa"/>
          </w:tcPr>
          <w:p w:rsidR="00213700" w:rsidRPr="000507B7" w:rsidRDefault="00213700" w:rsidP="001560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CA sends out announcement for New and Renewal projects</w:t>
            </w:r>
            <w:r w:rsidRPr="000507B7">
              <w:rPr>
                <w:rFonts w:cstheme="minorHAnsi"/>
                <w:b/>
                <w:sz w:val="20"/>
              </w:rPr>
              <w:t xml:space="preserve"> </w:t>
            </w:r>
            <w:r w:rsidRPr="000507B7">
              <w:rPr>
                <w:rFonts w:cstheme="minorHAnsi"/>
                <w:sz w:val="20"/>
              </w:rPr>
              <w:t xml:space="preserve">indicating they </w:t>
            </w:r>
            <w:r w:rsidRPr="000507B7">
              <w:rPr>
                <w:rFonts w:cstheme="minorHAnsi"/>
                <w:b/>
                <w:sz w:val="20"/>
              </w:rPr>
              <w:t>have 30 days to submit their applications in e-snaps.</w:t>
            </w:r>
            <w:r w:rsidRPr="000507B7">
              <w:rPr>
                <w:rFonts w:cstheme="minorHAnsi"/>
                <w:sz w:val="20"/>
              </w:rPr>
              <w:t xml:space="preserve"> </w:t>
            </w:r>
          </w:p>
          <w:p w:rsidR="00213700" w:rsidRPr="000507B7" w:rsidRDefault="00213700" w:rsidP="000507B7">
            <w:pPr>
              <w:ind w:left="360"/>
              <w:rPr>
                <w:rFonts w:cstheme="minorHAnsi"/>
                <w:sz w:val="20"/>
              </w:rPr>
            </w:pPr>
          </w:p>
        </w:tc>
        <w:tc>
          <w:tcPr>
            <w:tcW w:w="54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193524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213700" w:rsidRPr="000507B7" w:rsidRDefault="00213700" w:rsidP="00D47526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13700" w:rsidRPr="000507B7" w:rsidTr="00DD7365">
        <w:tc>
          <w:tcPr>
            <w:tcW w:w="7357" w:type="dxa"/>
          </w:tcPr>
          <w:p w:rsidR="00213700" w:rsidRPr="004903A5" w:rsidRDefault="00213700" w:rsidP="004903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CoC Project Committee and CA review applications for MATCH, completeness</w:t>
            </w:r>
            <w:r w:rsidR="00D05349">
              <w:rPr>
                <w:rFonts w:cstheme="minorHAnsi"/>
                <w:sz w:val="20"/>
              </w:rPr>
              <w:t>,</w:t>
            </w:r>
            <w:r w:rsidRPr="000507B7">
              <w:rPr>
                <w:rFonts w:cstheme="minorHAnsi"/>
                <w:sz w:val="20"/>
              </w:rPr>
              <w:t xml:space="preserve"> and to ensure proper attachments are submitted.</w:t>
            </w:r>
          </w:p>
        </w:tc>
        <w:tc>
          <w:tcPr>
            <w:tcW w:w="54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213700" w:rsidRPr="000507B7" w:rsidRDefault="006F01E4" w:rsidP="0053712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X </w:t>
            </w:r>
          </w:p>
        </w:tc>
        <w:tc>
          <w:tcPr>
            <w:tcW w:w="63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90156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213700" w:rsidRPr="000507B7" w:rsidRDefault="00213700" w:rsidP="00D47526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13700" w:rsidRPr="000507B7" w:rsidTr="00DD7365">
        <w:tc>
          <w:tcPr>
            <w:tcW w:w="7357" w:type="dxa"/>
          </w:tcPr>
          <w:p w:rsidR="00213700" w:rsidRPr="004903A5" w:rsidRDefault="00213700" w:rsidP="004903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 xml:space="preserve">CA releases all applications back to projects </w:t>
            </w:r>
            <w:r w:rsidR="00D05349">
              <w:rPr>
                <w:rFonts w:cstheme="minorHAnsi"/>
                <w:sz w:val="20"/>
              </w:rPr>
              <w:t xml:space="preserve">with issues or </w:t>
            </w:r>
            <w:r w:rsidRPr="000507B7">
              <w:rPr>
                <w:rFonts w:cstheme="minorHAnsi"/>
                <w:sz w:val="20"/>
              </w:rPr>
              <w:t>if their budgets do not match the HUD Approved GIW</w:t>
            </w:r>
            <w:r w:rsidR="00D05349">
              <w:rPr>
                <w:rFonts w:cstheme="minorHAnsi"/>
                <w:sz w:val="20"/>
              </w:rPr>
              <w:t>,</w:t>
            </w:r>
            <w:r w:rsidRPr="000507B7">
              <w:rPr>
                <w:rFonts w:cstheme="minorHAnsi"/>
                <w:sz w:val="20"/>
              </w:rPr>
              <w:t xml:space="preserve"> and gives timeline to resubmit</w:t>
            </w:r>
          </w:p>
        </w:tc>
        <w:tc>
          <w:tcPr>
            <w:tcW w:w="54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108028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213700" w:rsidRPr="000507B7" w:rsidRDefault="00213700" w:rsidP="00D47526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13700" w:rsidRPr="000507B7" w:rsidTr="00DD7365">
        <w:tc>
          <w:tcPr>
            <w:tcW w:w="7357" w:type="dxa"/>
          </w:tcPr>
          <w:p w:rsidR="00213700" w:rsidRPr="004903A5" w:rsidRDefault="00213700" w:rsidP="004903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CA monitors all timeframes, identifies areas of concern and brings to the Project or Steering Committee for resolution.</w:t>
            </w:r>
          </w:p>
        </w:tc>
        <w:tc>
          <w:tcPr>
            <w:tcW w:w="54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213700" w:rsidRPr="000507B7" w:rsidRDefault="001322C8" w:rsidP="006673C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Steering</w:t>
            </w:r>
          </w:p>
        </w:tc>
        <w:sdt>
          <w:sdtPr>
            <w:rPr>
              <w:rFonts w:cstheme="minorHAnsi"/>
              <w:sz w:val="20"/>
            </w:rPr>
            <w:id w:val="-185879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213700" w:rsidRPr="000507B7" w:rsidRDefault="00213700" w:rsidP="00D47526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13700" w:rsidRPr="000507B7" w:rsidTr="00DD7365">
        <w:tc>
          <w:tcPr>
            <w:tcW w:w="7357" w:type="dxa"/>
            <w:shd w:val="clear" w:color="auto" w:fill="95B3D7" w:themeFill="accent1" w:themeFillTint="99"/>
          </w:tcPr>
          <w:p w:rsidR="00213700" w:rsidRPr="000507B7" w:rsidRDefault="00213700" w:rsidP="00C60C1F">
            <w:pPr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b/>
                <w:sz w:val="20"/>
              </w:rPr>
              <w:t>Project Priority Listing</w:t>
            </w:r>
          </w:p>
        </w:tc>
        <w:tc>
          <w:tcPr>
            <w:tcW w:w="540" w:type="dxa"/>
            <w:shd w:val="clear" w:color="auto" w:fill="95B3D7" w:themeFill="accent1" w:themeFillTint="99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shd w:val="clear" w:color="auto" w:fill="95B3D7" w:themeFill="accent1" w:themeFillTint="99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shd w:val="clear" w:color="auto" w:fill="95B3D7" w:themeFill="accent1" w:themeFillTint="99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  <w:shd w:val="clear" w:color="auto" w:fill="95B3D7" w:themeFill="accent1" w:themeFillTint="99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60" w:type="dxa"/>
            <w:shd w:val="clear" w:color="auto" w:fill="95B3D7" w:themeFill="accent1" w:themeFillTint="99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213700" w:rsidRPr="000507B7" w:rsidTr="00DD7365">
        <w:tc>
          <w:tcPr>
            <w:tcW w:w="7357" w:type="dxa"/>
          </w:tcPr>
          <w:p w:rsidR="00213700" w:rsidRPr="000507B7" w:rsidRDefault="00213700" w:rsidP="001560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Project Committee monitors projects (This should already be done)</w:t>
            </w:r>
            <w:r w:rsidR="00D05349">
              <w:rPr>
                <w:rFonts w:cstheme="minorHAnsi"/>
                <w:sz w:val="20"/>
              </w:rPr>
              <w:t>. Provides results to Selection Committee</w:t>
            </w:r>
          </w:p>
          <w:p w:rsidR="00213700" w:rsidRPr="000507B7" w:rsidRDefault="00213700" w:rsidP="001560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</w:p>
        </w:tc>
        <w:tc>
          <w:tcPr>
            <w:tcW w:w="54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213700" w:rsidRPr="000507B7" w:rsidRDefault="00D05349" w:rsidP="006673C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Project</w:t>
            </w:r>
          </w:p>
        </w:tc>
        <w:sdt>
          <w:sdtPr>
            <w:rPr>
              <w:rFonts w:cstheme="minorHAnsi"/>
              <w:sz w:val="20"/>
            </w:rPr>
            <w:id w:val="142777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213700" w:rsidRPr="000507B7" w:rsidRDefault="00213700" w:rsidP="00D47526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13700" w:rsidRPr="000507B7" w:rsidTr="00DD7365">
        <w:tc>
          <w:tcPr>
            <w:tcW w:w="7357" w:type="dxa"/>
          </w:tcPr>
          <w:p w:rsidR="00213700" w:rsidRPr="004903A5" w:rsidRDefault="00D05349" w:rsidP="004903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Selection</w:t>
            </w:r>
            <w:r w:rsidR="00213700" w:rsidRPr="000507B7">
              <w:rPr>
                <w:rFonts w:cstheme="minorHAnsi"/>
                <w:sz w:val="20"/>
              </w:rPr>
              <w:t xml:space="preserve"> Committee needs to score and rank projects. See NOFA instructions regarding ranking for new projects developed as a result of reallocation or new Planning Grant projects</w:t>
            </w:r>
          </w:p>
        </w:tc>
        <w:tc>
          <w:tcPr>
            <w:tcW w:w="54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X</w:t>
            </w:r>
          </w:p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Facilitat</w:t>
            </w:r>
            <w:r w:rsidR="001322C8">
              <w:rPr>
                <w:rFonts w:cstheme="minorHAnsi"/>
                <w:sz w:val="20"/>
              </w:rPr>
              <w:t>ed by consultant</w:t>
            </w:r>
          </w:p>
        </w:tc>
        <w:tc>
          <w:tcPr>
            <w:tcW w:w="63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213700" w:rsidRPr="000507B7" w:rsidRDefault="001322C8" w:rsidP="006673C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Selection</w:t>
            </w:r>
          </w:p>
        </w:tc>
        <w:sdt>
          <w:sdtPr>
            <w:rPr>
              <w:rFonts w:cstheme="minorHAnsi"/>
              <w:sz w:val="20"/>
            </w:rPr>
            <w:id w:val="-42241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213700" w:rsidRPr="000507B7" w:rsidRDefault="00213700" w:rsidP="00D47526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13700" w:rsidRPr="000507B7" w:rsidTr="00DD7365">
        <w:tc>
          <w:tcPr>
            <w:tcW w:w="7357" w:type="dxa"/>
          </w:tcPr>
          <w:p w:rsidR="00213700" w:rsidRPr="000507B7" w:rsidRDefault="00213700" w:rsidP="00D053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 xml:space="preserve">CoC needs to vote on the </w:t>
            </w:r>
            <w:r w:rsidR="00D05349">
              <w:rPr>
                <w:rFonts w:cstheme="minorHAnsi"/>
                <w:sz w:val="20"/>
              </w:rPr>
              <w:t>Selection</w:t>
            </w:r>
            <w:r w:rsidRPr="000507B7">
              <w:rPr>
                <w:rFonts w:cstheme="minorHAnsi"/>
                <w:sz w:val="20"/>
              </w:rPr>
              <w:t xml:space="preserve"> Committee recommendations </w:t>
            </w:r>
          </w:p>
        </w:tc>
        <w:tc>
          <w:tcPr>
            <w:tcW w:w="54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22854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213700" w:rsidRPr="000507B7" w:rsidRDefault="00213700" w:rsidP="00D47526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13700" w:rsidRPr="000507B7" w:rsidTr="00DD7365">
        <w:tc>
          <w:tcPr>
            <w:tcW w:w="7357" w:type="dxa"/>
          </w:tcPr>
          <w:p w:rsidR="00213700" w:rsidRPr="000507B7" w:rsidRDefault="00213700" w:rsidP="000507B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CA enters the project priority rankings in e-snaps on all project applications &amp; attaches the scoring spreadsheet to the full application.</w:t>
            </w:r>
          </w:p>
        </w:tc>
        <w:tc>
          <w:tcPr>
            <w:tcW w:w="54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3262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213700" w:rsidRPr="000507B7" w:rsidRDefault="00213700" w:rsidP="00D47526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13700" w:rsidRPr="000507B7" w:rsidTr="00DD7365">
        <w:tc>
          <w:tcPr>
            <w:tcW w:w="7357" w:type="dxa"/>
            <w:shd w:val="clear" w:color="auto" w:fill="95B3D7" w:themeFill="accent1" w:themeFillTint="99"/>
          </w:tcPr>
          <w:p w:rsidR="00213700" w:rsidRPr="000507B7" w:rsidRDefault="00213700" w:rsidP="008E43C3">
            <w:pPr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b/>
                <w:sz w:val="20"/>
              </w:rPr>
              <w:t>Submission to HUD</w:t>
            </w:r>
          </w:p>
        </w:tc>
        <w:tc>
          <w:tcPr>
            <w:tcW w:w="540" w:type="dxa"/>
            <w:shd w:val="clear" w:color="auto" w:fill="95B3D7" w:themeFill="accent1" w:themeFillTint="99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shd w:val="clear" w:color="auto" w:fill="95B3D7" w:themeFill="accent1" w:themeFillTint="99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shd w:val="clear" w:color="auto" w:fill="95B3D7" w:themeFill="accent1" w:themeFillTint="99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  <w:shd w:val="clear" w:color="auto" w:fill="95B3D7" w:themeFill="accent1" w:themeFillTint="99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60" w:type="dxa"/>
            <w:shd w:val="clear" w:color="auto" w:fill="95B3D7" w:themeFill="accent1" w:themeFillTint="99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213700" w:rsidRPr="000507B7" w:rsidTr="00DD7365">
        <w:tc>
          <w:tcPr>
            <w:tcW w:w="7357" w:type="dxa"/>
          </w:tcPr>
          <w:p w:rsidR="00D05349" w:rsidRPr="00D05349" w:rsidRDefault="00213700" w:rsidP="00D053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Obtain the Certifications of Approval for Consistency with the Consolidated Plan (need to get one from each jurisdiction) and summarize the project listing by region for each approval.</w:t>
            </w:r>
            <w:r w:rsidR="00D05349">
              <w:rPr>
                <w:rFonts w:cstheme="minorHAnsi"/>
                <w:sz w:val="20"/>
              </w:rPr>
              <w:t xml:space="preserve"> </w:t>
            </w:r>
            <w:proofErr w:type="gramStart"/>
            <w:r w:rsidR="00D05349">
              <w:rPr>
                <w:rFonts w:cstheme="minorHAnsi"/>
                <w:sz w:val="20"/>
              </w:rPr>
              <w:t>(?this</w:t>
            </w:r>
            <w:proofErr w:type="gramEnd"/>
            <w:r w:rsidR="00D05349">
              <w:rPr>
                <w:rFonts w:cstheme="minorHAnsi"/>
                <w:sz w:val="20"/>
              </w:rPr>
              <w:t xml:space="preserve"> may be different in 2017?)</w:t>
            </w:r>
          </w:p>
        </w:tc>
        <w:tc>
          <w:tcPr>
            <w:tcW w:w="54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213700" w:rsidRPr="000507B7" w:rsidRDefault="006F01E4" w:rsidP="0053712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63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211308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213700" w:rsidRPr="000507B7" w:rsidRDefault="00213700" w:rsidP="00D47526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213700" w:rsidRPr="000507B7" w:rsidTr="00DD7365">
        <w:tc>
          <w:tcPr>
            <w:tcW w:w="7357" w:type="dxa"/>
          </w:tcPr>
          <w:p w:rsidR="00213700" w:rsidRDefault="00213700" w:rsidP="00157A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Once the application is complete, COC must vote, or designate Steering to vote, to Approve submission by the CA.</w:t>
            </w:r>
          </w:p>
          <w:p w:rsidR="004903A5" w:rsidRPr="000507B7" w:rsidRDefault="004903A5" w:rsidP="004903A5">
            <w:pPr>
              <w:pStyle w:val="ListParagraph"/>
              <w:rPr>
                <w:rFonts w:cstheme="minorHAnsi"/>
                <w:sz w:val="20"/>
              </w:rPr>
            </w:pPr>
          </w:p>
        </w:tc>
        <w:tc>
          <w:tcPr>
            <w:tcW w:w="54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lastRenderedPageBreak/>
              <w:t>X</w:t>
            </w:r>
          </w:p>
        </w:tc>
        <w:tc>
          <w:tcPr>
            <w:tcW w:w="117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60762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213700" w:rsidRPr="000507B7" w:rsidRDefault="00213700" w:rsidP="00D47526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13700" w:rsidRPr="000507B7" w:rsidTr="00DD7365">
        <w:tc>
          <w:tcPr>
            <w:tcW w:w="7357" w:type="dxa"/>
            <w:shd w:val="clear" w:color="auto" w:fill="B2A1C7" w:themeFill="accent4" w:themeFillTint="99"/>
          </w:tcPr>
          <w:p w:rsidR="00213700" w:rsidRPr="000507B7" w:rsidRDefault="00213700" w:rsidP="003C3787">
            <w:pPr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b/>
                <w:sz w:val="20"/>
              </w:rPr>
              <w:t>NOFA Application Sections</w:t>
            </w:r>
          </w:p>
        </w:tc>
        <w:tc>
          <w:tcPr>
            <w:tcW w:w="540" w:type="dxa"/>
            <w:shd w:val="clear" w:color="auto" w:fill="B2A1C7" w:themeFill="accent4" w:themeFillTint="99"/>
          </w:tcPr>
          <w:p w:rsidR="00213700" w:rsidRPr="00DD7365" w:rsidRDefault="00213700" w:rsidP="009B55D6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CA</w:t>
            </w:r>
          </w:p>
        </w:tc>
        <w:tc>
          <w:tcPr>
            <w:tcW w:w="1170" w:type="dxa"/>
            <w:shd w:val="clear" w:color="auto" w:fill="B2A1C7" w:themeFill="accent4" w:themeFillTint="99"/>
          </w:tcPr>
          <w:p w:rsidR="00213700" w:rsidRPr="00DD7365" w:rsidRDefault="00213700" w:rsidP="009B55D6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Consultants</w:t>
            </w:r>
          </w:p>
        </w:tc>
        <w:tc>
          <w:tcPr>
            <w:tcW w:w="630" w:type="dxa"/>
            <w:shd w:val="clear" w:color="auto" w:fill="B2A1C7" w:themeFill="accent4" w:themeFillTint="99"/>
          </w:tcPr>
          <w:p w:rsidR="00213700" w:rsidRPr="00DD7365" w:rsidRDefault="00213700" w:rsidP="009B55D6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CoC</w:t>
            </w:r>
          </w:p>
        </w:tc>
        <w:tc>
          <w:tcPr>
            <w:tcW w:w="1080" w:type="dxa"/>
            <w:shd w:val="clear" w:color="auto" w:fill="B2A1C7" w:themeFill="accent4" w:themeFillTint="99"/>
          </w:tcPr>
          <w:p w:rsidR="00213700" w:rsidRPr="00DD7365" w:rsidRDefault="00213700" w:rsidP="009B55D6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Committee</w:t>
            </w:r>
          </w:p>
        </w:tc>
        <w:tc>
          <w:tcPr>
            <w:tcW w:w="360" w:type="dxa"/>
            <w:shd w:val="clear" w:color="auto" w:fill="B2A1C7" w:themeFill="accent4" w:themeFillTint="99"/>
          </w:tcPr>
          <w:p w:rsidR="00213700" w:rsidRPr="000507B7" w:rsidRDefault="00213700" w:rsidP="009B55D6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13700" w:rsidRPr="000507B7" w:rsidTr="00DD7365">
        <w:tc>
          <w:tcPr>
            <w:tcW w:w="7357" w:type="dxa"/>
          </w:tcPr>
          <w:p w:rsidR="00213700" w:rsidRPr="000507B7" w:rsidRDefault="00213700" w:rsidP="00E9034F">
            <w:pPr>
              <w:pStyle w:val="Heading1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0507B7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1A. Continuum of Care (CoC) Identification </w:t>
            </w:r>
            <w:r w:rsidR="00360123" w:rsidRPr="000507B7">
              <w:rPr>
                <w:rFonts w:asciiTheme="minorHAnsi" w:hAnsiTheme="minorHAnsi" w:cstheme="minorHAnsi"/>
                <w:b w:val="0"/>
                <w:sz w:val="20"/>
                <w:szCs w:val="22"/>
              </w:rPr>
              <w:t>(Name, #, CA, HMIS Lead)</w:t>
            </w:r>
          </w:p>
        </w:tc>
        <w:tc>
          <w:tcPr>
            <w:tcW w:w="54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213700" w:rsidRPr="000507B7" w:rsidRDefault="00213700" w:rsidP="0053712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213700" w:rsidRPr="000507B7" w:rsidRDefault="00213700" w:rsidP="006673C2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5417541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213700" w:rsidRPr="000507B7" w:rsidRDefault="00360123" w:rsidP="00D47526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☒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  <w:shd w:val="clear" w:color="auto" w:fill="B2A1C7" w:themeFill="accent4" w:themeFillTint="99"/>
          </w:tcPr>
          <w:p w:rsidR="001322C8" w:rsidRPr="000507B7" w:rsidRDefault="001322C8" w:rsidP="001322C8">
            <w:pPr>
              <w:pStyle w:val="Heading1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0507B7">
              <w:rPr>
                <w:rFonts w:asciiTheme="minorHAnsi" w:hAnsiTheme="minorHAnsi" w:cstheme="minorHAnsi"/>
                <w:b w:val="0"/>
                <w:sz w:val="20"/>
                <w:szCs w:val="22"/>
              </w:rPr>
              <w:t>1B. Continuum of Care (CoC) Engagement</w:t>
            </w:r>
          </w:p>
        </w:tc>
        <w:tc>
          <w:tcPr>
            <w:tcW w:w="54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CA</w:t>
            </w:r>
          </w:p>
        </w:tc>
        <w:tc>
          <w:tcPr>
            <w:tcW w:w="117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Consultants</w:t>
            </w:r>
          </w:p>
        </w:tc>
        <w:tc>
          <w:tcPr>
            <w:tcW w:w="63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CoC</w:t>
            </w:r>
          </w:p>
        </w:tc>
        <w:tc>
          <w:tcPr>
            <w:tcW w:w="108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Committee</w:t>
            </w:r>
          </w:p>
        </w:tc>
        <w:tc>
          <w:tcPr>
            <w:tcW w:w="360" w:type="dxa"/>
            <w:shd w:val="clear" w:color="auto" w:fill="B2A1C7" w:themeFill="accent4" w:themeFillTint="99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322C8" w:rsidRPr="000507B7" w:rsidTr="00DD7365">
        <w:tc>
          <w:tcPr>
            <w:tcW w:w="7357" w:type="dxa"/>
          </w:tcPr>
          <w:p w:rsidR="001322C8" w:rsidRPr="001322C8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1B-1. From the list below, select those organization(s) and/or p</w:t>
            </w:r>
            <w:r>
              <w:rPr>
                <w:rFonts w:cstheme="minorHAnsi"/>
                <w:bCs/>
                <w:sz w:val="20"/>
              </w:rPr>
              <w:t xml:space="preserve">erson(s) </w:t>
            </w:r>
            <w:r w:rsidRPr="000507B7">
              <w:rPr>
                <w:rFonts w:cstheme="minorHAnsi"/>
                <w:bCs/>
                <w:sz w:val="20"/>
              </w:rPr>
              <w:t>that participate in CoC meetings. Using t</w:t>
            </w:r>
            <w:r>
              <w:rPr>
                <w:rFonts w:cstheme="minorHAnsi"/>
                <w:bCs/>
                <w:sz w:val="20"/>
              </w:rPr>
              <w:t xml:space="preserve">he drop-down boxes, indicate if </w:t>
            </w:r>
            <w:r w:rsidRPr="000507B7">
              <w:rPr>
                <w:rFonts w:cstheme="minorHAnsi"/>
                <w:bCs/>
                <w:sz w:val="20"/>
              </w:rPr>
              <w:t>the organization(s) and/or person(s): (1) p</w:t>
            </w:r>
            <w:r>
              <w:rPr>
                <w:rFonts w:cstheme="minorHAnsi"/>
                <w:bCs/>
                <w:sz w:val="20"/>
              </w:rPr>
              <w:t xml:space="preserve">articipate in CoC meetings; and </w:t>
            </w:r>
            <w:r w:rsidRPr="000507B7">
              <w:rPr>
                <w:rFonts w:cstheme="minorHAnsi"/>
                <w:bCs/>
                <w:sz w:val="20"/>
              </w:rPr>
              <w:t xml:space="preserve">(2) vote, including </w:t>
            </w:r>
            <w:r>
              <w:rPr>
                <w:rFonts w:cstheme="minorHAnsi"/>
                <w:bCs/>
                <w:sz w:val="20"/>
              </w:rPr>
              <w:t xml:space="preserve">selection of CoC Board members. </w:t>
            </w:r>
            <w:r w:rsidRPr="000507B7">
              <w:rPr>
                <w:rFonts w:cstheme="minorHAnsi"/>
                <w:b/>
                <w:bCs/>
                <w:sz w:val="20"/>
              </w:rPr>
              <w:t>Responses should be for the period from 5/1/16 to 4/30/17.</w:t>
            </w:r>
          </w:p>
        </w:tc>
        <w:tc>
          <w:tcPr>
            <w:tcW w:w="54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182318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1B-1a. Describe the specific strategy</w:t>
            </w:r>
            <w:r>
              <w:rPr>
                <w:rFonts w:cstheme="minorHAnsi"/>
                <w:bCs/>
                <w:sz w:val="20"/>
              </w:rPr>
              <w:t xml:space="preserve">(s) the CoC uses to solicit and </w:t>
            </w:r>
            <w:r w:rsidRPr="000507B7">
              <w:rPr>
                <w:rFonts w:cstheme="minorHAnsi"/>
                <w:bCs/>
                <w:sz w:val="20"/>
              </w:rPr>
              <w:t>consider opinions from organizations and/o</w:t>
            </w:r>
            <w:r>
              <w:rPr>
                <w:rFonts w:cstheme="minorHAnsi"/>
                <w:bCs/>
                <w:sz w:val="20"/>
              </w:rPr>
              <w:t xml:space="preserve">r persons that have an interest </w:t>
            </w:r>
            <w:r w:rsidRPr="000507B7">
              <w:rPr>
                <w:rFonts w:cstheme="minorHAnsi"/>
                <w:bCs/>
                <w:sz w:val="20"/>
              </w:rPr>
              <w:t>in pre</w:t>
            </w:r>
            <w:r>
              <w:rPr>
                <w:rFonts w:cstheme="minorHAnsi"/>
                <w:bCs/>
                <w:sz w:val="20"/>
              </w:rPr>
              <w:t xml:space="preserve">venting or ending homelessness. </w:t>
            </w:r>
            <w:r w:rsidRPr="000507B7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Resource</w:t>
            </w:r>
          </w:p>
        </w:tc>
        <w:sdt>
          <w:sdtPr>
            <w:rPr>
              <w:rFonts w:cstheme="minorHAnsi"/>
              <w:sz w:val="20"/>
            </w:rPr>
            <w:id w:val="21177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1B-2. Describe the CoC's open invita</w:t>
            </w:r>
            <w:r>
              <w:rPr>
                <w:rFonts w:cstheme="minorHAnsi"/>
                <w:bCs/>
                <w:sz w:val="20"/>
              </w:rPr>
              <w:t xml:space="preserve">tion process for soliciting new </w:t>
            </w:r>
            <w:r w:rsidRPr="000507B7">
              <w:rPr>
                <w:rFonts w:cstheme="minorHAnsi"/>
                <w:bCs/>
                <w:sz w:val="20"/>
              </w:rPr>
              <w:t xml:space="preserve">members, </w:t>
            </w:r>
            <w:r>
              <w:rPr>
                <w:rFonts w:cstheme="minorHAnsi"/>
                <w:bCs/>
                <w:sz w:val="20"/>
              </w:rPr>
              <w:t xml:space="preserve">including any special outreach. </w:t>
            </w:r>
            <w:r w:rsidRPr="000507B7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Resource</w:t>
            </w:r>
          </w:p>
        </w:tc>
        <w:sdt>
          <w:sdtPr>
            <w:rPr>
              <w:rFonts w:cstheme="minorHAnsi"/>
              <w:sz w:val="20"/>
            </w:rPr>
            <w:id w:val="114770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1B-3. Describe how the CoC notified the</w:t>
            </w:r>
            <w:r>
              <w:rPr>
                <w:rFonts w:cstheme="minorHAnsi"/>
                <w:bCs/>
                <w:sz w:val="20"/>
              </w:rPr>
              <w:t xml:space="preserve"> public that it will accept and </w:t>
            </w:r>
            <w:r w:rsidRPr="000507B7">
              <w:rPr>
                <w:rFonts w:cstheme="minorHAnsi"/>
                <w:bCs/>
                <w:sz w:val="20"/>
              </w:rPr>
              <w:t>consider proposals from organizations th</w:t>
            </w:r>
            <w:r>
              <w:rPr>
                <w:rFonts w:cstheme="minorHAnsi"/>
                <w:bCs/>
                <w:sz w:val="20"/>
              </w:rPr>
              <w:t xml:space="preserve">at have not previously received </w:t>
            </w:r>
            <w:r w:rsidRPr="000507B7">
              <w:rPr>
                <w:rFonts w:cstheme="minorHAnsi"/>
                <w:bCs/>
                <w:sz w:val="20"/>
              </w:rPr>
              <w:t>CoC Program funding in the FY 2017 CoC Program Co</w:t>
            </w:r>
            <w:r>
              <w:rPr>
                <w:rFonts w:cstheme="minorHAnsi"/>
                <w:bCs/>
                <w:sz w:val="20"/>
              </w:rPr>
              <w:t xml:space="preserve">mpetition, even if </w:t>
            </w:r>
            <w:r w:rsidRPr="000507B7">
              <w:rPr>
                <w:rFonts w:cstheme="minorHAnsi"/>
                <w:bCs/>
                <w:sz w:val="20"/>
              </w:rPr>
              <w:t>the CoC is not applying for new project</w:t>
            </w:r>
            <w:r>
              <w:rPr>
                <w:rFonts w:cstheme="minorHAnsi"/>
                <w:bCs/>
                <w:sz w:val="20"/>
              </w:rPr>
              <w:t xml:space="preserve">s in FY 2017. The response must </w:t>
            </w:r>
            <w:r w:rsidRPr="000507B7">
              <w:rPr>
                <w:rFonts w:cstheme="minorHAnsi"/>
                <w:bCs/>
                <w:sz w:val="20"/>
              </w:rPr>
              <w:t>include the date(s) the CoC made pub</w:t>
            </w:r>
            <w:r>
              <w:rPr>
                <w:rFonts w:cstheme="minorHAnsi"/>
                <w:bCs/>
                <w:sz w:val="20"/>
              </w:rPr>
              <w:t xml:space="preserve">licly knowing they were open to proposals.  </w:t>
            </w:r>
            <w:r w:rsidRPr="000507B7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118682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  <w:shd w:val="clear" w:color="auto" w:fill="B2A1C7" w:themeFill="accent4" w:themeFillTint="99"/>
          </w:tcPr>
          <w:p w:rsidR="001322C8" w:rsidRPr="000507B7" w:rsidRDefault="001322C8" w:rsidP="001322C8">
            <w:pPr>
              <w:pStyle w:val="Heading1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0507B7">
              <w:rPr>
                <w:rFonts w:asciiTheme="minorHAnsi" w:hAnsiTheme="minorHAnsi" w:cstheme="minorHAnsi"/>
                <w:b w:val="0"/>
                <w:sz w:val="20"/>
                <w:szCs w:val="22"/>
              </w:rPr>
              <w:t>1C. Continuum of Care (CoC) Coordination</w:t>
            </w:r>
          </w:p>
        </w:tc>
        <w:tc>
          <w:tcPr>
            <w:tcW w:w="54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CA</w:t>
            </w:r>
          </w:p>
        </w:tc>
        <w:tc>
          <w:tcPr>
            <w:tcW w:w="117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Consultants</w:t>
            </w:r>
          </w:p>
        </w:tc>
        <w:tc>
          <w:tcPr>
            <w:tcW w:w="63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CoC</w:t>
            </w:r>
          </w:p>
        </w:tc>
        <w:tc>
          <w:tcPr>
            <w:tcW w:w="108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Committee</w:t>
            </w:r>
          </w:p>
        </w:tc>
        <w:tc>
          <w:tcPr>
            <w:tcW w:w="360" w:type="dxa"/>
            <w:shd w:val="clear" w:color="auto" w:fill="B2A1C7" w:themeFill="accent4" w:themeFillTint="99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1C-1. Using the chart below, identify the Fed</w:t>
            </w:r>
            <w:r>
              <w:rPr>
                <w:rFonts w:cstheme="minorHAnsi"/>
                <w:bCs/>
                <w:sz w:val="20"/>
              </w:rPr>
              <w:t xml:space="preserve">eral, State, Local, Private and </w:t>
            </w:r>
            <w:r w:rsidRPr="000507B7">
              <w:rPr>
                <w:rFonts w:cstheme="minorHAnsi"/>
                <w:bCs/>
                <w:sz w:val="20"/>
              </w:rPr>
              <w:t xml:space="preserve">Other organizations that serve </w:t>
            </w:r>
            <w:r>
              <w:rPr>
                <w:rFonts w:cstheme="minorHAnsi"/>
                <w:bCs/>
                <w:sz w:val="20"/>
              </w:rPr>
              <w:t xml:space="preserve">homeless individuals, families, </w:t>
            </w:r>
            <w:r w:rsidRPr="000507B7">
              <w:rPr>
                <w:rFonts w:cstheme="minorHAnsi"/>
                <w:bCs/>
                <w:sz w:val="20"/>
              </w:rPr>
              <w:t>unaccompanied youth, persons who ar</w:t>
            </w:r>
            <w:r>
              <w:rPr>
                <w:rFonts w:cstheme="minorHAnsi"/>
                <w:bCs/>
                <w:sz w:val="20"/>
              </w:rPr>
              <w:t xml:space="preserve">e fleeing domestic violence, or </w:t>
            </w:r>
            <w:r w:rsidRPr="000507B7">
              <w:rPr>
                <w:rFonts w:cstheme="minorHAnsi"/>
                <w:bCs/>
                <w:sz w:val="20"/>
              </w:rPr>
              <w:t>those at risk of homelessness that are inc</w:t>
            </w:r>
            <w:r>
              <w:rPr>
                <w:rFonts w:cstheme="minorHAnsi"/>
                <w:bCs/>
                <w:sz w:val="20"/>
              </w:rPr>
              <w:t xml:space="preserve">luded in the CoC’s coordination; </w:t>
            </w:r>
            <w:r w:rsidRPr="000507B7">
              <w:rPr>
                <w:rFonts w:cstheme="minorHAnsi"/>
                <w:bCs/>
                <w:sz w:val="20"/>
              </w:rPr>
              <w:t>plan</w:t>
            </w:r>
            <w:r>
              <w:rPr>
                <w:rFonts w:cstheme="minorHAnsi"/>
                <w:bCs/>
                <w:sz w:val="20"/>
              </w:rPr>
              <w:t xml:space="preserve">ning and operation of projects. </w:t>
            </w:r>
            <w:r w:rsidRPr="000507B7">
              <w:rPr>
                <w:rFonts w:cstheme="minorHAnsi"/>
                <w:bCs/>
                <w:sz w:val="20"/>
              </w:rPr>
              <w:t>Only select "Not Applicable" if the fundin</w:t>
            </w:r>
            <w:r>
              <w:rPr>
                <w:rFonts w:cstheme="minorHAnsi"/>
                <w:bCs/>
                <w:sz w:val="20"/>
              </w:rPr>
              <w:t xml:space="preserve">g source(s) do not exist in the </w:t>
            </w:r>
            <w:r w:rsidRPr="000507B7">
              <w:rPr>
                <w:rFonts w:cstheme="minorHAnsi"/>
                <w:bCs/>
                <w:sz w:val="20"/>
              </w:rPr>
              <w:t>CoC's geographic area.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176297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1C-2. Describe how the CoC actively co</w:t>
            </w:r>
            <w:r>
              <w:rPr>
                <w:rFonts w:cstheme="minorHAnsi"/>
                <w:bCs/>
                <w:sz w:val="20"/>
              </w:rPr>
              <w:t xml:space="preserve">nsults with Emergency Solutions </w:t>
            </w:r>
            <w:r w:rsidRPr="000507B7">
              <w:rPr>
                <w:rFonts w:cstheme="minorHAnsi"/>
                <w:bCs/>
                <w:sz w:val="20"/>
              </w:rPr>
              <w:t>Grant (ESG) recipients in the planni</w:t>
            </w:r>
            <w:r>
              <w:rPr>
                <w:rFonts w:cstheme="minorHAnsi"/>
                <w:bCs/>
                <w:sz w:val="20"/>
              </w:rPr>
              <w:t xml:space="preserve">ng and allocation of ESG funds. </w:t>
            </w:r>
            <w:r w:rsidRPr="000507B7">
              <w:rPr>
                <w:rFonts w:cstheme="minorHAnsi"/>
                <w:bCs/>
                <w:sz w:val="20"/>
              </w:rPr>
              <w:t>Include in the response: (1) the interact</w:t>
            </w:r>
            <w:r>
              <w:rPr>
                <w:rFonts w:cstheme="minorHAnsi"/>
                <w:bCs/>
                <w:sz w:val="20"/>
              </w:rPr>
              <w:t xml:space="preserve">ions that occur between the CoC </w:t>
            </w:r>
            <w:r w:rsidRPr="000507B7">
              <w:rPr>
                <w:rFonts w:cstheme="minorHAnsi"/>
                <w:bCs/>
                <w:sz w:val="20"/>
              </w:rPr>
              <w:t>and the ESG Recipients in the planning a</w:t>
            </w:r>
            <w:r>
              <w:rPr>
                <w:rFonts w:cstheme="minorHAnsi"/>
                <w:bCs/>
                <w:sz w:val="20"/>
              </w:rPr>
              <w:t xml:space="preserve">nd allocation of funds; (2) the </w:t>
            </w:r>
            <w:r w:rsidRPr="000507B7">
              <w:rPr>
                <w:rFonts w:cstheme="minorHAnsi"/>
                <w:bCs/>
                <w:sz w:val="20"/>
              </w:rPr>
              <w:t>CoC</w:t>
            </w:r>
            <w:r>
              <w:rPr>
                <w:rFonts w:cstheme="minorHAnsi"/>
                <w:bCs/>
                <w:sz w:val="20"/>
              </w:rPr>
              <w:t>’</w:t>
            </w:r>
            <w:r w:rsidRPr="000507B7">
              <w:rPr>
                <w:rFonts w:cstheme="minorHAnsi"/>
                <w:bCs/>
                <w:sz w:val="20"/>
              </w:rPr>
              <w:t>s participation in the local Consolidated Plan jurisdicti</w:t>
            </w:r>
            <w:r>
              <w:rPr>
                <w:rFonts w:cstheme="minorHAnsi"/>
                <w:bCs/>
                <w:sz w:val="20"/>
              </w:rPr>
              <w:t xml:space="preserve">on(s) process </w:t>
            </w:r>
            <w:r w:rsidRPr="000507B7">
              <w:rPr>
                <w:rFonts w:cstheme="minorHAnsi"/>
                <w:bCs/>
                <w:sz w:val="20"/>
              </w:rPr>
              <w:t>by providing Point-in-Time (PIT) and Hou</w:t>
            </w:r>
            <w:r>
              <w:rPr>
                <w:rFonts w:cstheme="minorHAnsi"/>
                <w:bCs/>
                <w:sz w:val="20"/>
              </w:rPr>
              <w:t xml:space="preserve">sing Inventory Count (HIC) data </w:t>
            </w:r>
            <w:r w:rsidRPr="000507B7">
              <w:rPr>
                <w:rFonts w:cstheme="minorHAnsi"/>
                <w:bCs/>
                <w:sz w:val="20"/>
              </w:rPr>
              <w:t>to the Consolidated Plan jurisdictions; an</w:t>
            </w:r>
            <w:r>
              <w:rPr>
                <w:rFonts w:cstheme="minorHAnsi"/>
                <w:bCs/>
                <w:sz w:val="20"/>
              </w:rPr>
              <w:t xml:space="preserve">d (3) how the CoC ensures local </w:t>
            </w:r>
            <w:r w:rsidRPr="000507B7">
              <w:rPr>
                <w:rFonts w:cstheme="minorHAnsi"/>
                <w:bCs/>
                <w:sz w:val="20"/>
              </w:rPr>
              <w:t>homelessness information is clearl</w:t>
            </w:r>
            <w:r>
              <w:rPr>
                <w:rFonts w:cstheme="minorHAnsi"/>
                <w:bCs/>
                <w:sz w:val="20"/>
              </w:rPr>
              <w:t xml:space="preserve">y communicated and addressed in Consolidated Plan updates. </w:t>
            </w:r>
            <w:r w:rsidRPr="000507B7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193712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1C-3. CoC</w:t>
            </w:r>
            <w:r>
              <w:rPr>
                <w:rFonts w:cstheme="minorHAnsi"/>
                <w:bCs/>
                <w:sz w:val="20"/>
              </w:rPr>
              <w:t>’</w:t>
            </w:r>
            <w:r w:rsidRPr="000507B7">
              <w:rPr>
                <w:rFonts w:cstheme="minorHAnsi"/>
                <w:bCs/>
                <w:sz w:val="20"/>
              </w:rPr>
              <w:t>s must demonstrate the loca</w:t>
            </w:r>
            <w:r>
              <w:rPr>
                <w:rFonts w:cstheme="minorHAnsi"/>
                <w:bCs/>
                <w:sz w:val="20"/>
              </w:rPr>
              <w:t xml:space="preserve">l efforts to address the unique </w:t>
            </w:r>
            <w:r w:rsidRPr="000507B7">
              <w:rPr>
                <w:rFonts w:cstheme="minorHAnsi"/>
                <w:bCs/>
                <w:sz w:val="20"/>
              </w:rPr>
              <w:t xml:space="preserve">needs of persons, and their families, fleeing domestic violence that </w:t>
            </w:r>
            <w:r>
              <w:rPr>
                <w:rFonts w:cstheme="minorHAnsi"/>
                <w:bCs/>
                <w:sz w:val="20"/>
              </w:rPr>
              <w:t xml:space="preserve">includes access to </w:t>
            </w:r>
            <w:r w:rsidRPr="000507B7">
              <w:rPr>
                <w:rFonts w:cstheme="minorHAnsi"/>
                <w:bCs/>
                <w:sz w:val="20"/>
              </w:rPr>
              <w:t>housing and servi</w:t>
            </w:r>
            <w:r>
              <w:rPr>
                <w:rFonts w:cstheme="minorHAnsi"/>
                <w:bCs/>
                <w:sz w:val="20"/>
              </w:rPr>
              <w:t xml:space="preserve">ces that prioritizes safety and </w:t>
            </w:r>
            <w:r w:rsidRPr="000507B7">
              <w:rPr>
                <w:rFonts w:cstheme="minorHAnsi"/>
                <w:bCs/>
                <w:sz w:val="20"/>
              </w:rPr>
              <w:t>confident</w:t>
            </w:r>
            <w:r>
              <w:rPr>
                <w:rFonts w:cstheme="minorHAnsi"/>
                <w:bCs/>
                <w:sz w:val="20"/>
              </w:rPr>
              <w:t xml:space="preserve">iality of program participants. </w:t>
            </w:r>
            <w:r w:rsidRPr="000507B7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89910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1C-3a. CoC</w:t>
            </w:r>
            <w:r>
              <w:rPr>
                <w:rFonts w:cstheme="minorHAnsi"/>
                <w:bCs/>
                <w:sz w:val="20"/>
              </w:rPr>
              <w:t>’</w:t>
            </w:r>
            <w:r w:rsidRPr="000507B7">
              <w:rPr>
                <w:rFonts w:cstheme="minorHAnsi"/>
                <w:bCs/>
                <w:sz w:val="20"/>
              </w:rPr>
              <w:t>s must describe the followi</w:t>
            </w:r>
            <w:r>
              <w:rPr>
                <w:rFonts w:cstheme="minorHAnsi"/>
                <w:bCs/>
                <w:sz w:val="20"/>
              </w:rPr>
              <w:t xml:space="preserve">ng: (1) how regular training is </w:t>
            </w:r>
            <w:r w:rsidRPr="000507B7">
              <w:rPr>
                <w:rFonts w:cstheme="minorHAnsi"/>
                <w:bCs/>
                <w:sz w:val="20"/>
              </w:rPr>
              <w:t>provided to CoC providers and operators</w:t>
            </w:r>
            <w:r>
              <w:rPr>
                <w:rFonts w:cstheme="minorHAnsi"/>
                <w:bCs/>
                <w:sz w:val="20"/>
              </w:rPr>
              <w:t xml:space="preserve"> of coordinated entry processes </w:t>
            </w:r>
            <w:r w:rsidRPr="000507B7">
              <w:rPr>
                <w:rFonts w:cstheme="minorHAnsi"/>
                <w:bCs/>
                <w:sz w:val="20"/>
              </w:rPr>
              <w:t>that addresses best practices in serving survivors o</w:t>
            </w:r>
            <w:r>
              <w:rPr>
                <w:rFonts w:cstheme="minorHAnsi"/>
                <w:bCs/>
                <w:sz w:val="20"/>
              </w:rPr>
              <w:t xml:space="preserve">f domestic violence; </w:t>
            </w:r>
            <w:r w:rsidRPr="000507B7">
              <w:rPr>
                <w:rFonts w:cstheme="minorHAnsi"/>
                <w:bCs/>
                <w:sz w:val="20"/>
              </w:rPr>
              <w:t>(2) how the CoC uses statistics and othe</w:t>
            </w:r>
            <w:r>
              <w:rPr>
                <w:rFonts w:cstheme="minorHAnsi"/>
                <w:bCs/>
                <w:sz w:val="20"/>
              </w:rPr>
              <w:t xml:space="preserve">r available data about domestic </w:t>
            </w:r>
            <w:r w:rsidRPr="000507B7">
              <w:rPr>
                <w:rFonts w:cstheme="minorHAnsi"/>
                <w:bCs/>
                <w:sz w:val="20"/>
              </w:rPr>
              <w:t>violence, including aggregate dat</w:t>
            </w:r>
            <w:r>
              <w:rPr>
                <w:rFonts w:cstheme="minorHAnsi"/>
                <w:bCs/>
                <w:sz w:val="20"/>
              </w:rPr>
              <w:t xml:space="preserve">a from comparable databases, as </w:t>
            </w:r>
            <w:r w:rsidRPr="000507B7">
              <w:rPr>
                <w:rFonts w:cstheme="minorHAnsi"/>
                <w:bCs/>
                <w:sz w:val="20"/>
              </w:rPr>
              <w:t>appropriate, to assess the scope of comm</w:t>
            </w:r>
            <w:r>
              <w:rPr>
                <w:rFonts w:cstheme="minorHAnsi"/>
                <w:bCs/>
                <w:sz w:val="20"/>
              </w:rPr>
              <w:t xml:space="preserve">unity needs related to domestic </w:t>
            </w:r>
            <w:r w:rsidRPr="000507B7">
              <w:rPr>
                <w:rFonts w:cstheme="minorHAnsi"/>
                <w:bCs/>
                <w:sz w:val="20"/>
              </w:rPr>
              <w:t xml:space="preserve">violence and homelessness; and </w:t>
            </w:r>
            <w:r>
              <w:rPr>
                <w:rFonts w:cstheme="minorHAnsi"/>
                <w:bCs/>
                <w:sz w:val="20"/>
              </w:rPr>
              <w:t xml:space="preserve">(3) the CoC safety and planning </w:t>
            </w:r>
            <w:r w:rsidRPr="000507B7">
              <w:rPr>
                <w:rFonts w:cstheme="minorHAnsi"/>
                <w:bCs/>
                <w:sz w:val="20"/>
              </w:rPr>
              <w:t>protocols and how they are included</w:t>
            </w:r>
            <w:r>
              <w:rPr>
                <w:rFonts w:cstheme="minorHAnsi"/>
                <w:bCs/>
                <w:sz w:val="20"/>
              </w:rPr>
              <w:t xml:space="preserve"> in the coordinated assessment. </w:t>
            </w:r>
            <w:r w:rsidRPr="000507B7">
              <w:rPr>
                <w:rFonts w:cstheme="minorHAnsi"/>
                <w:bCs/>
                <w:sz w:val="20"/>
              </w:rPr>
              <w:t>(limit 1,000 characters)</w:t>
            </w:r>
          </w:p>
        </w:tc>
        <w:tc>
          <w:tcPr>
            <w:tcW w:w="54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32975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1C-4. Using the chart provided, for each</w:t>
            </w:r>
            <w:r>
              <w:rPr>
                <w:rFonts w:cstheme="minorHAnsi"/>
                <w:bCs/>
                <w:sz w:val="20"/>
              </w:rPr>
              <w:t xml:space="preserve"> of the Public Housing Agency’s </w:t>
            </w:r>
            <w:r w:rsidRPr="000507B7">
              <w:rPr>
                <w:rFonts w:cstheme="minorHAnsi"/>
                <w:bCs/>
                <w:sz w:val="20"/>
              </w:rPr>
              <w:t>(PHA) in the CoC's geographic area: (1) identify the per</w:t>
            </w:r>
            <w:r>
              <w:rPr>
                <w:rFonts w:cstheme="minorHAnsi"/>
                <w:bCs/>
                <w:sz w:val="20"/>
              </w:rPr>
              <w:t xml:space="preserve">centage of new </w:t>
            </w:r>
            <w:r w:rsidRPr="000507B7">
              <w:rPr>
                <w:rFonts w:cstheme="minorHAnsi"/>
                <w:bCs/>
                <w:sz w:val="20"/>
              </w:rPr>
              <w:t xml:space="preserve">admissions to the Public Housing </w:t>
            </w:r>
            <w:r>
              <w:rPr>
                <w:rFonts w:cstheme="minorHAnsi"/>
                <w:bCs/>
                <w:sz w:val="20"/>
              </w:rPr>
              <w:t xml:space="preserve">or Housing Choice Voucher (HCV) </w:t>
            </w:r>
            <w:r w:rsidRPr="000507B7">
              <w:rPr>
                <w:rFonts w:cstheme="minorHAnsi"/>
                <w:bCs/>
                <w:sz w:val="20"/>
              </w:rPr>
              <w:t>Programs in the PHA’s that were homeles</w:t>
            </w:r>
            <w:r>
              <w:rPr>
                <w:rFonts w:cstheme="minorHAnsi"/>
                <w:bCs/>
                <w:sz w:val="20"/>
              </w:rPr>
              <w:t xml:space="preserve">s at the time of admission; and </w:t>
            </w:r>
            <w:r w:rsidRPr="000507B7">
              <w:rPr>
                <w:rFonts w:cstheme="minorHAnsi"/>
                <w:bCs/>
                <w:sz w:val="20"/>
              </w:rPr>
              <w:t>(2) indicate whether the PHA has a homeless admission preference in its</w:t>
            </w:r>
            <w:r>
              <w:rPr>
                <w:rFonts w:cstheme="minorHAnsi"/>
                <w:bCs/>
                <w:sz w:val="20"/>
              </w:rPr>
              <w:t xml:space="preserve"> Public Housing and/or HCV </w:t>
            </w:r>
            <w:r w:rsidRPr="000507B7">
              <w:rPr>
                <w:rFonts w:cstheme="minorHAnsi"/>
                <w:bCs/>
                <w:sz w:val="20"/>
              </w:rPr>
              <w:t>program.</w:t>
            </w:r>
          </w:p>
          <w:p w:rsidR="001322C8" w:rsidRPr="00495DE3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color w:val="FF0000"/>
                <w:sz w:val="20"/>
              </w:rPr>
              <w:t>Attachment Required</w:t>
            </w:r>
            <w:r w:rsidRPr="000507B7">
              <w:rPr>
                <w:rFonts w:cstheme="minorHAnsi"/>
                <w:bCs/>
                <w:sz w:val="20"/>
              </w:rPr>
              <w:t>: If the CoC select</w:t>
            </w:r>
            <w:r>
              <w:rPr>
                <w:rFonts w:cstheme="minorHAnsi"/>
                <w:bCs/>
                <w:sz w:val="20"/>
              </w:rPr>
              <w:t xml:space="preserve">ed, "Yes-Public Housing", "Yes- </w:t>
            </w:r>
            <w:r w:rsidRPr="000507B7">
              <w:rPr>
                <w:rFonts w:cstheme="minorHAnsi"/>
                <w:bCs/>
                <w:sz w:val="20"/>
              </w:rPr>
              <w:t>HCV" or "Yes-Both", attach an excerpt from</w:t>
            </w:r>
            <w:r>
              <w:rPr>
                <w:rFonts w:cstheme="minorHAnsi"/>
                <w:bCs/>
                <w:sz w:val="20"/>
              </w:rPr>
              <w:t xml:space="preserve"> the PHA(s) written policies or </w:t>
            </w:r>
            <w:r w:rsidRPr="000507B7">
              <w:rPr>
                <w:rFonts w:cstheme="minorHAnsi"/>
                <w:bCs/>
                <w:sz w:val="20"/>
              </w:rPr>
              <w:t>a letter from the PHA(s) that addresses homeless preference.</w:t>
            </w:r>
          </w:p>
        </w:tc>
        <w:tc>
          <w:tcPr>
            <w:tcW w:w="54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53100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495DE3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lastRenderedPageBreak/>
              <w:t xml:space="preserve">1C-4a. For each PHA where there is not a homeless </w:t>
            </w:r>
            <w:r>
              <w:rPr>
                <w:rFonts w:cstheme="minorHAnsi"/>
                <w:bCs/>
                <w:sz w:val="20"/>
              </w:rPr>
              <w:t xml:space="preserve">admission preference </w:t>
            </w:r>
            <w:r w:rsidRPr="000507B7">
              <w:rPr>
                <w:rFonts w:cstheme="minorHAnsi"/>
                <w:bCs/>
                <w:sz w:val="20"/>
              </w:rPr>
              <w:t>in their written policies, identify the steps</w:t>
            </w:r>
            <w:r>
              <w:rPr>
                <w:rFonts w:cstheme="minorHAnsi"/>
                <w:bCs/>
                <w:sz w:val="20"/>
              </w:rPr>
              <w:t xml:space="preserve"> the CoC has taken to encourage the PHA to adopt such a policy. </w:t>
            </w:r>
            <w:r w:rsidRPr="000507B7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42395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 w:themeFill="background1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495DE3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1C-5. Describe the actions the CoC has tak</w:t>
            </w:r>
            <w:r>
              <w:rPr>
                <w:rFonts w:cstheme="minorHAnsi"/>
                <w:bCs/>
                <w:sz w:val="20"/>
              </w:rPr>
              <w:t xml:space="preserve">en to: (1) address the needs of </w:t>
            </w:r>
            <w:r w:rsidRPr="000507B7">
              <w:rPr>
                <w:rFonts w:cstheme="minorHAnsi"/>
                <w:bCs/>
                <w:sz w:val="20"/>
              </w:rPr>
              <w:t>Lesbian, Gay, Bisexual, Transgender (LGBT)</w:t>
            </w:r>
            <w:r>
              <w:rPr>
                <w:rFonts w:cstheme="minorHAnsi"/>
                <w:bCs/>
                <w:sz w:val="20"/>
              </w:rPr>
              <w:t xml:space="preserve"> individuals and their families </w:t>
            </w:r>
            <w:r w:rsidRPr="000507B7">
              <w:rPr>
                <w:rFonts w:cstheme="minorHAnsi"/>
                <w:bCs/>
                <w:sz w:val="20"/>
              </w:rPr>
              <w:t>experiencing homelessness, (2) conduct</w:t>
            </w:r>
            <w:r>
              <w:rPr>
                <w:rFonts w:cstheme="minorHAnsi"/>
                <w:bCs/>
                <w:sz w:val="20"/>
              </w:rPr>
              <w:t xml:space="preserve"> regular CoC-wide training with providers on how to effe</w:t>
            </w:r>
            <w:r w:rsidRPr="000507B7">
              <w:rPr>
                <w:rFonts w:cstheme="minorHAnsi"/>
                <w:bCs/>
                <w:sz w:val="20"/>
              </w:rPr>
              <w:t>ctively implem</w:t>
            </w:r>
            <w:r>
              <w:rPr>
                <w:rFonts w:cstheme="minorHAnsi"/>
                <w:bCs/>
                <w:sz w:val="20"/>
              </w:rPr>
              <w:t xml:space="preserve">ent the Equal Access to Housing </w:t>
            </w:r>
            <w:r w:rsidRPr="000507B7">
              <w:rPr>
                <w:rFonts w:cstheme="minorHAnsi"/>
                <w:bCs/>
                <w:sz w:val="20"/>
              </w:rPr>
              <w:t>in HUD Programs Regardless of Sexual</w:t>
            </w:r>
            <w:r>
              <w:rPr>
                <w:rFonts w:cstheme="minorHAnsi"/>
                <w:bCs/>
                <w:sz w:val="20"/>
              </w:rPr>
              <w:t xml:space="preserve"> Orientation or Gender Identity, </w:t>
            </w:r>
            <w:r w:rsidRPr="000507B7">
              <w:rPr>
                <w:rFonts w:cstheme="minorHAnsi"/>
                <w:bCs/>
                <w:sz w:val="20"/>
              </w:rPr>
              <w:t>including Gender Identify Equal Access</w:t>
            </w:r>
            <w:r>
              <w:rPr>
                <w:rFonts w:cstheme="minorHAnsi"/>
                <w:bCs/>
                <w:sz w:val="20"/>
              </w:rPr>
              <w:t xml:space="preserve"> to Housing, Final Rule; and (3) </w:t>
            </w:r>
            <w:r w:rsidRPr="000507B7">
              <w:rPr>
                <w:rFonts w:cstheme="minorHAnsi"/>
                <w:bCs/>
                <w:sz w:val="20"/>
              </w:rPr>
              <w:t>implementation of</w:t>
            </w:r>
            <w:r>
              <w:rPr>
                <w:rFonts w:cstheme="minorHAnsi"/>
                <w:bCs/>
                <w:sz w:val="20"/>
              </w:rPr>
              <w:t xml:space="preserve"> an anti-discrimination policy. </w:t>
            </w:r>
            <w:r w:rsidRPr="000507B7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101407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 w:themeFill="background1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495DE3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1C-6. Criminalization: Select the specifi</w:t>
            </w:r>
            <w:r>
              <w:rPr>
                <w:rFonts w:cstheme="minorHAnsi"/>
                <w:bCs/>
                <w:sz w:val="20"/>
              </w:rPr>
              <w:t xml:space="preserve">c strategies implemented by the </w:t>
            </w:r>
            <w:r w:rsidRPr="000507B7">
              <w:rPr>
                <w:rFonts w:cstheme="minorHAnsi"/>
                <w:bCs/>
                <w:sz w:val="20"/>
              </w:rPr>
              <w:t>CoC to prevent the criminalizati</w:t>
            </w:r>
            <w:r>
              <w:rPr>
                <w:rFonts w:cstheme="minorHAnsi"/>
                <w:bCs/>
                <w:sz w:val="20"/>
              </w:rPr>
              <w:t xml:space="preserve">on of homelessness in the CoC’s </w:t>
            </w:r>
            <w:r w:rsidRPr="000507B7">
              <w:rPr>
                <w:rFonts w:cstheme="minorHAnsi"/>
                <w:bCs/>
                <w:sz w:val="20"/>
              </w:rPr>
              <w:t>geographic area. Select all that apply.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123096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  <w:shd w:val="clear" w:color="auto" w:fill="B2A1C7" w:themeFill="accent4" w:themeFillTint="99"/>
          </w:tcPr>
          <w:p w:rsidR="001322C8" w:rsidRPr="000507B7" w:rsidRDefault="001322C8" w:rsidP="001322C8">
            <w:pPr>
              <w:pStyle w:val="Heading1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0507B7">
              <w:rPr>
                <w:rFonts w:asciiTheme="minorHAnsi" w:hAnsiTheme="minorHAnsi" w:cstheme="minorHAnsi"/>
                <w:b w:val="0"/>
                <w:sz w:val="20"/>
                <w:szCs w:val="22"/>
              </w:rPr>
              <w:t>1D. Continuum of Care (CoC) Discharge Planning</w:t>
            </w:r>
          </w:p>
        </w:tc>
        <w:tc>
          <w:tcPr>
            <w:tcW w:w="54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CA</w:t>
            </w:r>
          </w:p>
        </w:tc>
        <w:tc>
          <w:tcPr>
            <w:tcW w:w="117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Consultants</w:t>
            </w:r>
          </w:p>
        </w:tc>
        <w:tc>
          <w:tcPr>
            <w:tcW w:w="63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CoC</w:t>
            </w:r>
          </w:p>
        </w:tc>
        <w:tc>
          <w:tcPr>
            <w:tcW w:w="108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Committee</w:t>
            </w:r>
          </w:p>
        </w:tc>
        <w:tc>
          <w:tcPr>
            <w:tcW w:w="360" w:type="dxa"/>
            <w:shd w:val="clear" w:color="auto" w:fill="B2A1C7" w:themeFill="accent4" w:themeFillTint="99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322C8" w:rsidRPr="000507B7" w:rsidTr="00DD7365">
        <w:tc>
          <w:tcPr>
            <w:tcW w:w="7357" w:type="dxa"/>
          </w:tcPr>
          <w:p w:rsidR="001322C8" w:rsidRPr="00495DE3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1D-1. Discharge Planning – State and Local:</w:t>
            </w:r>
            <w:r>
              <w:rPr>
                <w:rFonts w:cstheme="minorHAnsi"/>
                <w:bCs/>
                <w:sz w:val="20"/>
              </w:rPr>
              <w:t xml:space="preserve"> Select from the list provided, </w:t>
            </w:r>
            <w:r w:rsidRPr="000507B7">
              <w:rPr>
                <w:rFonts w:cstheme="minorHAnsi"/>
                <w:bCs/>
                <w:sz w:val="20"/>
              </w:rPr>
              <w:t>whether the CoC has a discharge</w:t>
            </w:r>
            <w:r>
              <w:rPr>
                <w:rFonts w:cstheme="minorHAnsi"/>
                <w:bCs/>
                <w:sz w:val="20"/>
              </w:rPr>
              <w:t xml:space="preserve"> policy to ensure those who are </w:t>
            </w:r>
            <w:r w:rsidRPr="000507B7">
              <w:rPr>
                <w:rFonts w:cstheme="minorHAnsi"/>
                <w:bCs/>
                <w:sz w:val="20"/>
              </w:rPr>
              <w:t>discharged from a system of care listed are</w:t>
            </w:r>
            <w:r>
              <w:rPr>
                <w:rFonts w:cstheme="minorHAnsi"/>
                <w:bCs/>
                <w:sz w:val="20"/>
              </w:rPr>
              <w:t xml:space="preserve"> not discharged directly to the </w:t>
            </w:r>
            <w:r w:rsidRPr="000507B7">
              <w:rPr>
                <w:rFonts w:cstheme="minorHAnsi"/>
                <w:bCs/>
                <w:sz w:val="20"/>
              </w:rPr>
              <w:t>streets, emergency shelters or othe</w:t>
            </w:r>
            <w:r>
              <w:rPr>
                <w:rFonts w:cstheme="minorHAnsi"/>
                <w:bCs/>
                <w:sz w:val="20"/>
              </w:rPr>
              <w:t xml:space="preserve">r homeless assistance programs. </w:t>
            </w:r>
            <w:r w:rsidRPr="000507B7">
              <w:rPr>
                <w:rFonts w:cstheme="minorHAnsi"/>
                <w:bCs/>
                <w:sz w:val="20"/>
              </w:rPr>
              <w:t>Check all that apply.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SHC</w:t>
            </w:r>
          </w:p>
        </w:tc>
        <w:sdt>
          <w:sdtPr>
            <w:rPr>
              <w:rFonts w:cstheme="minorHAnsi"/>
              <w:sz w:val="20"/>
            </w:rPr>
            <w:id w:val="-205090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495DE3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1D-1a. If the applicant did not check all the</w:t>
            </w:r>
            <w:r>
              <w:rPr>
                <w:rFonts w:cstheme="minorHAnsi"/>
                <w:bCs/>
                <w:sz w:val="20"/>
              </w:rPr>
              <w:t xml:space="preserve"> boxes in 1D-1, provide: (1) an </w:t>
            </w:r>
            <w:r w:rsidRPr="000507B7">
              <w:rPr>
                <w:rFonts w:cstheme="minorHAnsi"/>
                <w:bCs/>
                <w:sz w:val="20"/>
              </w:rPr>
              <w:t>explanation of the reason(s) the CoC does</w:t>
            </w:r>
            <w:r>
              <w:rPr>
                <w:rFonts w:cstheme="minorHAnsi"/>
                <w:bCs/>
                <w:sz w:val="20"/>
              </w:rPr>
              <w:t xml:space="preserve"> not have a discharge policy in place </w:t>
            </w:r>
            <w:r w:rsidRPr="000507B7">
              <w:rPr>
                <w:rFonts w:cstheme="minorHAnsi"/>
                <w:bCs/>
                <w:sz w:val="20"/>
              </w:rPr>
              <w:t>for the system of care; and (2) provid</w:t>
            </w:r>
            <w:r>
              <w:rPr>
                <w:rFonts w:cstheme="minorHAnsi"/>
                <w:bCs/>
                <w:sz w:val="20"/>
              </w:rPr>
              <w:t xml:space="preserve">e the actions the CoC is taking </w:t>
            </w:r>
            <w:r w:rsidRPr="000507B7">
              <w:rPr>
                <w:rFonts w:cstheme="minorHAnsi"/>
                <w:bCs/>
                <w:sz w:val="20"/>
              </w:rPr>
              <w:t>or plans to take to coordinate with or assis</w:t>
            </w:r>
            <w:r>
              <w:rPr>
                <w:rFonts w:cstheme="minorHAnsi"/>
                <w:bCs/>
                <w:sz w:val="20"/>
              </w:rPr>
              <w:t xml:space="preserve">t the State and local discharge </w:t>
            </w:r>
            <w:r w:rsidRPr="000507B7">
              <w:rPr>
                <w:rFonts w:cstheme="minorHAnsi"/>
                <w:bCs/>
                <w:sz w:val="20"/>
              </w:rPr>
              <w:t>planning efforts to ensure persons are not discharged to the s</w:t>
            </w:r>
            <w:r>
              <w:rPr>
                <w:rFonts w:cstheme="minorHAnsi"/>
                <w:bCs/>
                <w:sz w:val="20"/>
              </w:rPr>
              <w:t xml:space="preserve">treet, </w:t>
            </w:r>
            <w:r w:rsidRPr="000507B7">
              <w:rPr>
                <w:rFonts w:cstheme="minorHAnsi"/>
                <w:bCs/>
                <w:sz w:val="20"/>
              </w:rPr>
              <w:t>emergency shelters, or othe</w:t>
            </w:r>
            <w:r>
              <w:rPr>
                <w:rFonts w:cstheme="minorHAnsi"/>
                <w:bCs/>
                <w:sz w:val="20"/>
              </w:rPr>
              <w:t xml:space="preserve">r homeless assistance programs. </w:t>
            </w:r>
            <w:r w:rsidRPr="000507B7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SHC</w:t>
            </w:r>
          </w:p>
        </w:tc>
        <w:sdt>
          <w:sdtPr>
            <w:rPr>
              <w:rFonts w:cstheme="minorHAnsi"/>
              <w:sz w:val="20"/>
            </w:rPr>
            <w:id w:val="150470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495DE3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1D-2. Discharge Planning: Select the sys</w:t>
            </w:r>
            <w:r>
              <w:rPr>
                <w:rFonts w:cstheme="minorHAnsi"/>
                <w:bCs/>
                <w:sz w:val="20"/>
              </w:rPr>
              <w:t xml:space="preserve">tem(s) of care within the CoC’s </w:t>
            </w:r>
            <w:r w:rsidRPr="000507B7">
              <w:rPr>
                <w:rFonts w:cstheme="minorHAnsi"/>
                <w:bCs/>
                <w:sz w:val="20"/>
              </w:rPr>
              <w:t xml:space="preserve">geographic area the CoC actively coordinates with to ensure persons </w:t>
            </w:r>
            <w:r>
              <w:rPr>
                <w:rFonts w:cstheme="minorHAnsi"/>
                <w:bCs/>
                <w:sz w:val="20"/>
              </w:rPr>
              <w:t xml:space="preserve">who </w:t>
            </w:r>
            <w:r w:rsidRPr="000507B7">
              <w:rPr>
                <w:rFonts w:cstheme="minorHAnsi"/>
                <w:bCs/>
                <w:sz w:val="20"/>
              </w:rPr>
              <w:t>have resided in any of the institutions liste</w:t>
            </w:r>
            <w:r>
              <w:rPr>
                <w:rFonts w:cstheme="minorHAnsi"/>
                <w:bCs/>
                <w:sz w:val="20"/>
              </w:rPr>
              <w:t xml:space="preserve">d below longer than 90 days are </w:t>
            </w:r>
            <w:r w:rsidRPr="000507B7">
              <w:rPr>
                <w:rFonts w:cstheme="minorHAnsi"/>
                <w:bCs/>
                <w:sz w:val="20"/>
              </w:rPr>
              <w:t>not discharged directly to the street</w:t>
            </w:r>
            <w:r>
              <w:rPr>
                <w:rFonts w:cstheme="minorHAnsi"/>
                <w:bCs/>
                <w:sz w:val="20"/>
              </w:rPr>
              <w:t xml:space="preserve">s, emergency shelters, or other </w:t>
            </w:r>
            <w:r w:rsidRPr="000507B7">
              <w:rPr>
                <w:rFonts w:cstheme="minorHAnsi"/>
                <w:bCs/>
                <w:sz w:val="20"/>
              </w:rPr>
              <w:t>homeless assistance programs. Check all that apply.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  <w:p w:rsidR="00D05349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SHC</w:t>
            </w:r>
          </w:p>
        </w:tc>
        <w:sdt>
          <w:sdtPr>
            <w:rPr>
              <w:rFonts w:cstheme="minorHAnsi"/>
              <w:sz w:val="20"/>
            </w:rPr>
            <w:id w:val="75879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  <w:shd w:val="clear" w:color="auto" w:fill="B2A1C7" w:themeFill="accent4" w:themeFillTint="99"/>
          </w:tcPr>
          <w:p w:rsidR="001322C8" w:rsidRPr="000507B7" w:rsidRDefault="001322C8" w:rsidP="001322C8">
            <w:pPr>
              <w:pStyle w:val="Heading1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0507B7">
              <w:rPr>
                <w:rFonts w:asciiTheme="minorHAnsi" w:hAnsiTheme="minorHAnsi" w:cstheme="minorHAnsi"/>
                <w:b w:val="0"/>
                <w:sz w:val="20"/>
                <w:szCs w:val="22"/>
              </w:rPr>
              <w:t>1E. Continuum of Care (CoC) Project Review, Ranking, and Selection</w:t>
            </w:r>
          </w:p>
        </w:tc>
        <w:tc>
          <w:tcPr>
            <w:tcW w:w="54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CA</w:t>
            </w:r>
          </w:p>
        </w:tc>
        <w:tc>
          <w:tcPr>
            <w:tcW w:w="117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Consultants</w:t>
            </w:r>
          </w:p>
        </w:tc>
        <w:tc>
          <w:tcPr>
            <w:tcW w:w="63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CoC</w:t>
            </w:r>
          </w:p>
        </w:tc>
        <w:tc>
          <w:tcPr>
            <w:tcW w:w="108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Committee</w:t>
            </w:r>
          </w:p>
        </w:tc>
        <w:tc>
          <w:tcPr>
            <w:tcW w:w="360" w:type="dxa"/>
            <w:shd w:val="clear" w:color="auto" w:fill="B2A1C7" w:themeFill="accent4" w:themeFillTint="99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322C8" w:rsidRPr="000507B7" w:rsidTr="00DD7365">
        <w:tc>
          <w:tcPr>
            <w:tcW w:w="7357" w:type="dxa"/>
          </w:tcPr>
          <w:p w:rsidR="001322C8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 xml:space="preserve">1E-1. Using the drop-down menu, select the appropriate </w:t>
            </w:r>
            <w:r>
              <w:rPr>
                <w:rFonts w:cstheme="minorHAnsi"/>
                <w:bCs/>
                <w:sz w:val="20"/>
              </w:rPr>
              <w:t xml:space="preserve">response(s) that </w:t>
            </w:r>
            <w:r w:rsidRPr="000507B7">
              <w:rPr>
                <w:rFonts w:cstheme="minorHAnsi"/>
                <w:bCs/>
                <w:sz w:val="20"/>
              </w:rPr>
              <w:t xml:space="preserve">demonstrate the process the CoC </w:t>
            </w:r>
            <w:r>
              <w:rPr>
                <w:rFonts w:cstheme="minorHAnsi"/>
                <w:bCs/>
                <w:sz w:val="20"/>
              </w:rPr>
              <w:t xml:space="preserve">used to rank and select project </w:t>
            </w:r>
            <w:r w:rsidRPr="000507B7">
              <w:rPr>
                <w:rFonts w:cstheme="minorHAnsi"/>
                <w:bCs/>
                <w:sz w:val="20"/>
              </w:rPr>
              <w:t>applications in the FY 2017 CoC Program</w:t>
            </w:r>
            <w:r>
              <w:rPr>
                <w:rFonts w:cstheme="minorHAnsi"/>
                <w:bCs/>
                <w:sz w:val="20"/>
              </w:rPr>
              <w:t xml:space="preserve"> Competition which included (1) </w:t>
            </w:r>
            <w:r w:rsidRPr="000507B7">
              <w:rPr>
                <w:rFonts w:cstheme="minorHAnsi"/>
                <w:bCs/>
                <w:sz w:val="20"/>
              </w:rPr>
              <w:t xml:space="preserve">the use of objective criteria; (2) at least </w:t>
            </w:r>
            <w:r>
              <w:rPr>
                <w:rFonts w:cstheme="minorHAnsi"/>
                <w:bCs/>
                <w:sz w:val="20"/>
              </w:rPr>
              <w:t xml:space="preserve">one factor related to achieving </w:t>
            </w:r>
            <w:r w:rsidRPr="000507B7">
              <w:rPr>
                <w:rFonts w:cstheme="minorHAnsi"/>
                <w:bCs/>
                <w:sz w:val="20"/>
              </w:rPr>
              <w:t>positive housing outcomes; and (3)</w:t>
            </w:r>
            <w:r>
              <w:rPr>
                <w:rFonts w:cstheme="minorHAnsi"/>
                <w:bCs/>
                <w:sz w:val="20"/>
              </w:rPr>
              <w:t xml:space="preserve"> included a specific method for </w:t>
            </w:r>
            <w:r w:rsidRPr="000507B7">
              <w:rPr>
                <w:rFonts w:cstheme="minorHAnsi"/>
                <w:bCs/>
                <w:sz w:val="20"/>
              </w:rPr>
              <w:t>evaluating projects submitt</w:t>
            </w:r>
            <w:r>
              <w:rPr>
                <w:rFonts w:cstheme="minorHAnsi"/>
                <w:bCs/>
                <w:sz w:val="20"/>
              </w:rPr>
              <w:t>ed by victim service providers.</w:t>
            </w:r>
          </w:p>
          <w:p w:rsidR="001322C8" w:rsidRPr="00495DE3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color w:val="FF0000"/>
                <w:sz w:val="20"/>
              </w:rPr>
              <w:t xml:space="preserve">Attachment Required: </w:t>
            </w:r>
            <w:r w:rsidRPr="000507B7">
              <w:rPr>
                <w:rFonts w:cstheme="minorHAnsi"/>
                <w:bCs/>
                <w:sz w:val="20"/>
              </w:rPr>
              <w:t xml:space="preserve">Public posting of </w:t>
            </w:r>
            <w:r>
              <w:rPr>
                <w:rFonts w:cstheme="minorHAnsi"/>
                <w:bCs/>
                <w:sz w:val="20"/>
              </w:rPr>
              <w:t xml:space="preserve">documentation that supports the </w:t>
            </w:r>
            <w:r w:rsidRPr="000507B7">
              <w:rPr>
                <w:rFonts w:cstheme="minorHAnsi"/>
                <w:bCs/>
                <w:sz w:val="20"/>
              </w:rPr>
              <w:t>process the CoC used to rank and select project application.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Project</w:t>
            </w:r>
          </w:p>
        </w:tc>
        <w:sdt>
          <w:sdtPr>
            <w:rPr>
              <w:rFonts w:cstheme="minorHAnsi"/>
              <w:sz w:val="20"/>
            </w:rPr>
            <w:id w:val="37111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1E-2. Severity of Needs and Vulnerabilities</w:t>
            </w:r>
            <w:r>
              <w:rPr>
                <w:rFonts w:cstheme="minorHAnsi"/>
                <w:bCs/>
                <w:sz w:val="20"/>
              </w:rPr>
              <w:t xml:space="preserve">. </w:t>
            </w:r>
          </w:p>
          <w:p w:rsidR="001322C8" w:rsidRPr="00495DE3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CoC</w:t>
            </w:r>
            <w:r>
              <w:rPr>
                <w:rFonts w:cstheme="minorHAnsi"/>
                <w:bCs/>
                <w:sz w:val="20"/>
              </w:rPr>
              <w:t>’</w:t>
            </w:r>
            <w:r w:rsidRPr="000507B7">
              <w:rPr>
                <w:rFonts w:cstheme="minorHAnsi"/>
                <w:bCs/>
                <w:sz w:val="20"/>
              </w:rPr>
              <w:t>s must provide the extent the CoC c</w:t>
            </w:r>
            <w:r>
              <w:rPr>
                <w:rFonts w:cstheme="minorHAnsi"/>
                <w:bCs/>
                <w:sz w:val="20"/>
              </w:rPr>
              <w:t xml:space="preserve">onsidered the severity of needs </w:t>
            </w:r>
            <w:r w:rsidRPr="000507B7">
              <w:rPr>
                <w:rFonts w:cstheme="minorHAnsi"/>
                <w:bCs/>
                <w:sz w:val="20"/>
              </w:rPr>
              <w:t>and vulnerabilities experienced by progra</w:t>
            </w:r>
            <w:r>
              <w:rPr>
                <w:rFonts w:cstheme="minorHAnsi"/>
                <w:bCs/>
                <w:sz w:val="20"/>
              </w:rPr>
              <w:t xml:space="preserve">m participants in their project </w:t>
            </w:r>
            <w:r w:rsidRPr="000507B7">
              <w:rPr>
                <w:rFonts w:cstheme="minorHAnsi"/>
                <w:bCs/>
                <w:sz w:val="20"/>
              </w:rPr>
              <w:t>ranking and selection process. Describe: (</w:t>
            </w:r>
            <w:r>
              <w:rPr>
                <w:rFonts w:cstheme="minorHAnsi"/>
                <w:bCs/>
                <w:sz w:val="20"/>
              </w:rPr>
              <w:t xml:space="preserve">1) the specific vulnerabilities </w:t>
            </w:r>
            <w:r w:rsidRPr="000507B7">
              <w:rPr>
                <w:rFonts w:cstheme="minorHAnsi"/>
                <w:bCs/>
                <w:sz w:val="20"/>
              </w:rPr>
              <w:t>the CoC considered; and (2) how the CoC t</w:t>
            </w:r>
            <w:r>
              <w:rPr>
                <w:rFonts w:cstheme="minorHAnsi"/>
                <w:bCs/>
                <w:sz w:val="20"/>
              </w:rPr>
              <w:t xml:space="preserve">akes these vulnerabilities into </w:t>
            </w:r>
            <w:r w:rsidRPr="000507B7">
              <w:rPr>
                <w:rFonts w:cstheme="minorHAnsi"/>
                <w:bCs/>
                <w:sz w:val="20"/>
              </w:rPr>
              <w:t xml:space="preserve">account during the ranking and </w:t>
            </w:r>
            <w:r>
              <w:rPr>
                <w:rFonts w:cstheme="minorHAnsi"/>
                <w:bCs/>
                <w:sz w:val="20"/>
              </w:rPr>
              <w:t xml:space="preserve">selection process. (See the CoC </w:t>
            </w:r>
            <w:r w:rsidRPr="000507B7">
              <w:rPr>
                <w:rFonts w:cstheme="minorHAnsi"/>
                <w:bCs/>
                <w:sz w:val="20"/>
              </w:rPr>
              <w:t>Application Detailed Instructions for ex</w:t>
            </w:r>
            <w:r>
              <w:rPr>
                <w:rFonts w:cstheme="minorHAnsi"/>
                <w:bCs/>
                <w:sz w:val="20"/>
              </w:rPr>
              <w:t xml:space="preserve">amples of severity of needs and vulnerabilities.) </w:t>
            </w:r>
            <w:r w:rsidRPr="000507B7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Project</w:t>
            </w:r>
          </w:p>
        </w:tc>
        <w:sdt>
          <w:sdtPr>
            <w:rPr>
              <w:rFonts w:cstheme="minorHAnsi"/>
              <w:sz w:val="20"/>
            </w:rPr>
            <w:id w:val="-87993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  <w:shd w:val="clear" w:color="auto" w:fill="FFFFFF" w:themeFill="background1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1E-3. Using the following checklist, select: (1) how the CoC made publicly</w:t>
            </w:r>
          </w:p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available to potential project applicants an objective ranking and selection</w:t>
            </w:r>
          </w:p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process that was used for all project (new and renewal) at least 2 days</w:t>
            </w:r>
            <w:r>
              <w:rPr>
                <w:rFonts w:cstheme="minorHAnsi"/>
                <w:bCs/>
                <w:sz w:val="20"/>
              </w:rPr>
              <w:t xml:space="preserve"> </w:t>
            </w:r>
            <w:r w:rsidRPr="000507B7">
              <w:rPr>
                <w:rFonts w:cstheme="minorHAnsi"/>
                <w:bCs/>
                <w:sz w:val="20"/>
              </w:rPr>
              <w:t>before the application submission deadli</w:t>
            </w:r>
            <w:r>
              <w:rPr>
                <w:rFonts w:cstheme="minorHAnsi"/>
                <w:bCs/>
                <w:sz w:val="20"/>
              </w:rPr>
              <w:t xml:space="preserve">ne; and (2) all parts of the CoC </w:t>
            </w:r>
            <w:r w:rsidRPr="000507B7">
              <w:rPr>
                <w:rFonts w:cstheme="minorHAnsi"/>
                <w:bCs/>
                <w:sz w:val="20"/>
              </w:rPr>
              <w:t>Consolidated Application, the CoC Ap</w:t>
            </w:r>
            <w:r>
              <w:rPr>
                <w:rFonts w:cstheme="minorHAnsi"/>
                <w:bCs/>
                <w:sz w:val="20"/>
              </w:rPr>
              <w:t xml:space="preserve">plication attachments, Priority </w:t>
            </w:r>
            <w:r w:rsidRPr="000507B7">
              <w:rPr>
                <w:rFonts w:cstheme="minorHAnsi"/>
                <w:bCs/>
                <w:sz w:val="20"/>
              </w:rPr>
              <w:t>Listing that includes the reallocation forms</w:t>
            </w:r>
            <w:r>
              <w:rPr>
                <w:rFonts w:cstheme="minorHAnsi"/>
                <w:bCs/>
                <w:sz w:val="20"/>
              </w:rPr>
              <w:t xml:space="preserve"> and Project Listings that show </w:t>
            </w:r>
            <w:r w:rsidRPr="000507B7">
              <w:rPr>
                <w:rFonts w:cstheme="minorHAnsi"/>
                <w:bCs/>
                <w:sz w:val="20"/>
              </w:rPr>
              <w:t>all project applications submitted to t</w:t>
            </w:r>
            <w:r>
              <w:rPr>
                <w:rFonts w:cstheme="minorHAnsi"/>
                <w:bCs/>
                <w:sz w:val="20"/>
              </w:rPr>
              <w:t xml:space="preserve">he CoC were either accepted and </w:t>
            </w:r>
            <w:r w:rsidRPr="000507B7">
              <w:rPr>
                <w:rFonts w:cstheme="minorHAnsi"/>
                <w:bCs/>
                <w:sz w:val="20"/>
              </w:rPr>
              <w:t>ranked, or rejected and were made publicly a</w:t>
            </w:r>
            <w:r>
              <w:rPr>
                <w:rFonts w:cstheme="minorHAnsi"/>
                <w:bCs/>
                <w:sz w:val="20"/>
              </w:rPr>
              <w:t xml:space="preserve">vailable to project applicants, </w:t>
            </w:r>
            <w:r w:rsidRPr="000507B7">
              <w:rPr>
                <w:rFonts w:cstheme="minorHAnsi"/>
                <w:bCs/>
                <w:sz w:val="20"/>
              </w:rPr>
              <w:t>community members and key stakeholders.</w:t>
            </w:r>
          </w:p>
          <w:p w:rsidR="001322C8" w:rsidRPr="00495DE3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color w:val="FF0000"/>
                <w:sz w:val="20"/>
              </w:rPr>
              <w:t xml:space="preserve">Attachment Required: </w:t>
            </w:r>
            <w:r w:rsidRPr="000507B7">
              <w:rPr>
                <w:rFonts w:cstheme="minorHAnsi"/>
                <w:bCs/>
                <w:sz w:val="20"/>
              </w:rPr>
              <w:t>Documentat</w:t>
            </w:r>
            <w:r>
              <w:rPr>
                <w:rFonts w:cstheme="minorHAnsi"/>
                <w:bCs/>
                <w:sz w:val="20"/>
              </w:rPr>
              <w:t xml:space="preserve">ion demonstrating the objective </w:t>
            </w:r>
            <w:r w:rsidRPr="000507B7">
              <w:rPr>
                <w:rFonts w:cstheme="minorHAnsi"/>
                <w:bCs/>
                <w:sz w:val="20"/>
              </w:rPr>
              <w:t>ranking and selections process and the fin</w:t>
            </w:r>
            <w:r>
              <w:rPr>
                <w:rFonts w:cstheme="minorHAnsi"/>
                <w:bCs/>
                <w:sz w:val="20"/>
              </w:rPr>
              <w:t xml:space="preserve">al version of the completed CoC </w:t>
            </w:r>
            <w:r w:rsidRPr="000507B7">
              <w:rPr>
                <w:rFonts w:cstheme="minorHAnsi"/>
                <w:bCs/>
                <w:sz w:val="20"/>
              </w:rPr>
              <w:t xml:space="preserve">Consolidated Application, </w:t>
            </w:r>
            <w:r w:rsidRPr="000507B7">
              <w:rPr>
                <w:rFonts w:cstheme="minorHAnsi"/>
                <w:bCs/>
                <w:sz w:val="20"/>
              </w:rPr>
              <w:lastRenderedPageBreak/>
              <w:t>including the Co</w:t>
            </w:r>
            <w:r>
              <w:rPr>
                <w:rFonts w:cstheme="minorHAnsi"/>
                <w:bCs/>
                <w:sz w:val="20"/>
              </w:rPr>
              <w:t xml:space="preserve">C Application with attachments, </w:t>
            </w:r>
            <w:r w:rsidRPr="000507B7">
              <w:rPr>
                <w:rFonts w:cstheme="minorHAnsi"/>
                <w:bCs/>
                <w:sz w:val="20"/>
              </w:rPr>
              <w:t>Priority Listing with reallocation forms an</w:t>
            </w:r>
            <w:r>
              <w:rPr>
                <w:rFonts w:cstheme="minorHAnsi"/>
                <w:bCs/>
                <w:sz w:val="20"/>
              </w:rPr>
              <w:t xml:space="preserve">d all project applications that </w:t>
            </w:r>
            <w:r w:rsidRPr="000507B7">
              <w:rPr>
                <w:rFonts w:cstheme="minorHAnsi"/>
                <w:bCs/>
                <w:sz w:val="20"/>
              </w:rPr>
              <w:t>were accepted and ranked, or reje</w:t>
            </w:r>
            <w:r>
              <w:rPr>
                <w:rFonts w:cstheme="minorHAnsi"/>
                <w:bCs/>
                <w:sz w:val="20"/>
              </w:rPr>
              <w:t xml:space="preserve">cted (new and renewal) was made </w:t>
            </w:r>
            <w:r w:rsidRPr="000507B7">
              <w:rPr>
                <w:rFonts w:cstheme="minorHAnsi"/>
                <w:bCs/>
                <w:sz w:val="20"/>
              </w:rPr>
              <w:t>publicly available. Attachments must clea</w:t>
            </w:r>
            <w:r>
              <w:rPr>
                <w:rFonts w:cstheme="minorHAnsi"/>
                <w:bCs/>
                <w:sz w:val="20"/>
              </w:rPr>
              <w:t xml:space="preserve">rly show the date the documents </w:t>
            </w:r>
            <w:r w:rsidRPr="000507B7">
              <w:rPr>
                <w:rFonts w:cstheme="minorHAnsi"/>
                <w:bCs/>
                <w:sz w:val="20"/>
              </w:rPr>
              <w:t>were publicly posted.</w:t>
            </w:r>
          </w:p>
        </w:tc>
        <w:tc>
          <w:tcPr>
            <w:tcW w:w="540" w:type="dxa"/>
            <w:shd w:val="clear" w:color="auto" w:fill="FFFFFF" w:themeFill="background1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X</w:t>
            </w:r>
          </w:p>
        </w:tc>
        <w:tc>
          <w:tcPr>
            <w:tcW w:w="1170" w:type="dxa"/>
            <w:shd w:val="clear" w:color="auto" w:fill="FFFFFF" w:themeFill="background1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322C8" w:rsidRPr="000507B7" w:rsidRDefault="00D05349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Project</w:t>
            </w:r>
          </w:p>
        </w:tc>
        <w:sdt>
          <w:sdtPr>
            <w:rPr>
              <w:rFonts w:cstheme="minorHAnsi"/>
              <w:sz w:val="20"/>
            </w:rPr>
            <w:id w:val="-107735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 w:themeFill="background1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  <w:shd w:val="clear" w:color="auto" w:fill="FFFFFF" w:themeFill="background1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1E-4. Reallocation: Applicants must demons</w:t>
            </w:r>
            <w:r>
              <w:rPr>
                <w:rFonts w:cstheme="minorHAnsi"/>
                <w:bCs/>
                <w:sz w:val="20"/>
              </w:rPr>
              <w:t xml:space="preserve">trate the ability to reallocate </w:t>
            </w:r>
            <w:r w:rsidRPr="000507B7">
              <w:rPr>
                <w:rFonts w:cstheme="minorHAnsi"/>
                <w:bCs/>
                <w:sz w:val="20"/>
              </w:rPr>
              <w:t>lower performing projects to create n</w:t>
            </w:r>
            <w:r>
              <w:rPr>
                <w:rFonts w:cstheme="minorHAnsi"/>
                <w:bCs/>
                <w:sz w:val="20"/>
              </w:rPr>
              <w:t xml:space="preserve">ew, higher performing projects. </w:t>
            </w:r>
            <w:r w:rsidRPr="000507B7">
              <w:rPr>
                <w:rFonts w:cstheme="minorHAnsi"/>
                <w:bCs/>
                <w:sz w:val="20"/>
              </w:rPr>
              <w:t>CoC’s may choose from one of the follow</w:t>
            </w:r>
            <w:r>
              <w:rPr>
                <w:rFonts w:cstheme="minorHAnsi"/>
                <w:bCs/>
                <w:sz w:val="20"/>
              </w:rPr>
              <w:t xml:space="preserve">ing two options below to answer </w:t>
            </w:r>
            <w:r w:rsidRPr="000507B7">
              <w:rPr>
                <w:rFonts w:cstheme="minorHAnsi"/>
                <w:bCs/>
                <w:sz w:val="20"/>
              </w:rPr>
              <w:t>this question. You do not need to provide an answer for both.</w:t>
            </w:r>
          </w:p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Option 1: The CoC actively encourages new and existing prov</w:t>
            </w:r>
            <w:r>
              <w:rPr>
                <w:rFonts w:cstheme="minorHAnsi"/>
                <w:sz w:val="20"/>
              </w:rPr>
              <w:t xml:space="preserve">iders to apply for new projects </w:t>
            </w:r>
            <w:r w:rsidRPr="000507B7">
              <w:rPr>
                <w:rFonts w:cstheme="minorHAnsi"/>
                <w:sz w:val="20"/>
              </w:rPr>
              <w:t>through reallocation.</w:t>
            </w:r>
          </w:p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495DE3">
              <w:rPr>
                <w:rFonts w:cstheme="minorHAnsi"/>
                <w:color w:val="FF0000"/>
                <w:sz w:val="20"/>
              </w:rPr>
              <w:t xml:space="preserve">Attachment Required </w:t>
            </w:r>
            <w:r w:rsidRPr="000507B7">
              <w:rPr>
                <w:rFonts w:cstheme="minorHAnsi"/>
                <w:sz w:val="20"/>
              </w:rPr>
              <w:t xml:space="preserve">- Option 1: Documentation that shows </w:t>
            </w:r>
            <w:r>
              <w:rPr>
                <w:rFonts w:cstheme="minorHAnsi"/>
                <w:sz w:val="20"/>
              </w:rPr>
              <w:t xml:space="preserve">the CoC actively encouraged new </w:t>
            </w:r>
            <w:r w:rsidRPr="000507B7">
              <w:rPr>
                <w:rFonts w:cstheme="minorHAnsi"/>
                <w:sz w:val="20"/>
              </w:rPr>
              <w:t>and existing providers to apply for new projects through reallocation.</w:t>
            </w:r>
          </w:p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Option 2: The CoC has cumulatively realloc</w:t>
            </w:r>
            <w:r>
              <w:rPr>
                <w:rFonts w:cstheme="minorHAnsi"/>
                <w:sz w:val="20"/>
              </w:rPr>
              <w:t xml:space="preserve">ated at least 20 percent of the CoC’s ARD between </w:t>
            </w:r>
            <w:r w:rsidRPr="000507B7">
              <w:rPr>
                <w:rFonts w:cstheme="minorHAnsi"/>
                <w:sz w:val="20"/>
              </w:rPr>
              <w:t>FY 2013 and FY 2017 CoC Program Competitions.</w:t>
            </w:r>
          </w:p>
          <w:p w:rsidR="001322C8" w:rsidRPr="00495DE3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0507B7">
              <w:rPr>
                <w:rFonts w:cstheme="minorHAnsi"/>
                <w:sz w:val="20"/>
              </w:rPr>
              <w:t>No Attachment Required - HUD will calculate the cumu</w:t>
            </w:r>
            <w:r>
              <w:rPr>
                <w:rFonts w:cstheme="minorHAnsi"/>
                <w:sz w:val="20"/>
              </w:rPr>
              <w:t xml:space="preserve">lative amount based on the </w:t>
            </w:r>
            <w:proofErr w:type="spellStart"/>
            <w:r>
              <w:rPr>
                <w:rFonts w:cstheme="minorHAnsi"/>
                <w:sz w:val="20"/>
              </w:rPr>
              <w:t>CoCs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r w:rsidRPr="000507B7">
              <w:rPr>
                <w:rFonts w:cstheme="minorHAnsi"/>
                <w:sz w:val="20"/>
              </w:rPr>
              <w:t>reallocation forms submitted with each fiscal years Priority Listing.</w:t>
            </w:r>
          </w:p>
        </w:tc>
        <w:tc>
          <w:tcPr>
            <w:tcW w:w="540" w:type="dxa"/>
            <w:shd w:val="clear" w:color="auto" w:fill="FFFFFF" w:themeFill="background1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Project</w:t>
            </w:r>
          </w:p>
        </w:tc>
        <w:sdt>
          <w:sdtPr>
            <w:rPr>
              <w:rFonts w:cstheme="minorHAnsi"/>
              <w:sz w:val="20"/>
            </w:rPr>
            <w:id w:val="-213255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 w:themeFill="background1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  <w:shd w:val="clear" w:color="auto" w:fill="FFFFFF" w:themeFill="background1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 xml:space="preserve">1E-5. If the </w:t>
            </w:r>
            <w:r>
              <w:rPr>
                <w:rFonts w:cstheme="minorHAnsi"/>
                <w:bCs/>
                <w:sz w:val="20"/>
              </w:rPr>
              <w:t xml:space="preserve">CoC rejected or reduced project </w:t>
            </w:r>
            <w:r w:rsidRPr="000507B7">
              <w:rPr>
                <w:rFonts w:cstheme="minorHAnsi"/>
                <w:bCs/>
                <w:sz w:val="20"/>
              </w:rPr>
              <w:t>application</w:t>
            </w:r>
            <w:r>
              <w:rPr>
                <w:rFonts w:cstheme="minorHAnsi"/>
                <w:bCs/>
                <w:sz w:val="20"/>
              </w:rPr>
              <w:t xml:space="preserve">(s), enter the date the CoC and </w:t>
            </w:r>
            <w:r w:rsidRPr="000507B7">
              <w:rPr>
                <w:rFonts w:cstheme="minorHAnsi"/>
                <w:bCs/>
                <w:sz w:val="20"/>
              </w:rPr>
              <w:t>Collabora</w:t>
            </w:r>
            <w:r>
              <w:rPr>
                <w:rFonts w:cstheme="minorHAnsi"/>
                <w:bCs/>
                <w:sz w:val="20"/>
              </w:rPr>
              <w:t xml:space="preserve">tive Applicant notified project </w:t>
            </w:r>
            <w:r w:rsidRPr="000507B7">
              <w:rPr>
                <w:rFonts w:cstheme="minorHAnsi"/>
                <w:bCs/>
                <w:sz w:val="20"/>
              </w:rPr>
              <w:t>applicants th</w:t>
            </w:r>
            <w:r>
              <w:rPr>
                <w:rFonts w:cstheme="minorHAnsi"/>
                <w:bCs/>
                <w:sz w:val="20"/>
              </w:rPr>
              <w:t xml:space="preserve">eir project application(s) were </w:t>
            </w:r>
            <w:r w:rsidRPr="000507B7">
              <w:rPr>
                <w:rFonts w:cstheme="minorHAnsi"/>
                <w:bCs/>
                <w:sz w:val="20"/>
              </w:rPr>
              <w:t>being rejected or reduced in wri</w:t>
            </w:r>
            <w:r>
              <w:rPr>
                <w:rFonts w:cstheme="minorHAnsi"/>
                <w:bCs/>
                <w:sz w:val="20"/>
              </w:rPr>
              <w:t xml:space="preserve">ting outside </w:t>
            </w:r>
            <w:r w:rsidRPr="000507B7">
              <w:rPr>
                <w:rFonts w:cstheme="minorHAnsi"/>
                <w:bCs/>
                <w:sz w:val="20"/>
              </w:rPr>
              <w:t>of e-snaps.</w:t>
            </w:r>
          </w:p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color w:val="FF0000"/>
                <w:sz w:val="20"/>
              </w:rPr>
              <w:t xml:space="preserve">Attachment Required: </w:t>
            </w:r>
            <w:r>
              <w:rPr>
                <w:rFonts w:cstheme="minorHAnsi"/>
                <w:bCs/>
                <w:sz w:val="20"/>
              </w:rPr>
              <w:t xml:space="preserve">Copies of written </w:t>
            </w:r>
            <w:r w:rsidRPr="000507B7">
              <w:rPr>
                <w:rFonts w:cstheme="minorHAnsi"/>
                <w:bCs/>
                <w:sz w:val="20"/>
              </w:rPr>
              <w:t xml:space="preserve">notification to </w:t>
            </w:r>
            <w:r>
              <w:rPr>
                <w:rFonts w:cstheme="minorHAnsi"/>
                <w:bCs/>
                <w:sz w:val="20"/>
              </w:rPr>
              <w:t xml:space="preserve">project applicant(s) that their </w:t>
            </w:r>
            <w:r w:rsidRPr="000507B7">
              <w:rPr>
                <w:rFonts w:cstheme="minorHAnsi"/>
                <w:bCs/>
                <w:sz w:val="20"/>
              </w:rPr>
              <w:t>project applic</w:t>
            </w:r>
            <w:r>
              <w:rPr>
                <w:rFonts w:cstheme="minorHAnsi"/>
                <w:bCs/>
                <w:sz w:val="20"/>
              </w:rPr>
              <w:t xml:space="preserve">ation(s) were rejected. Where a </w:t>
            </w:r>
            <w:r w:rsidRPr="000507B7">
              <w:rPr>
                <w:rFonts w:cstheme="minorHAnsi"/>
                <w:bCs/>
                <w:sz w:val="20"/>
              </w:rPr>
              <w:t xml:space="preserve">project application is being rejected or reduced, the </w:t>
            </w:r>
            <w:r>
              <w:rPr>
                <w:rFonts w:cstheme="minorHAnsi"/>
                <w:bCs/>
                <w:sz w:val="20"/>
              </w:rPr>
              <w:t xml:space="preserve">CoC must indicate reason(s) for </w:t>
            </w:r>
            <w:r w:rsidRPr="000507B7">
              <w:rPr>
                <w:rFonts w:cstheme="minorHAnsi"/>
                <w:bCs/>
                <w:sz w:val="20"/>
              </w:rPr>
              <w:t>rejection or reduction.</w:t>
            </w:r>
          </w:p>
        </w:tc>
        <w:tc>
          <w:tcPr>
            <w:tcW w:w="540" w:type="dxa"/>
            <w:shd w:val="clear" w:color="auto" w:fill="FFFFFF" w:themeFill="background1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Project</w:t>
            </w:r>
          </w:p>
        </w:tc>
        <w:sdt>
          <w:sdtPr>
            <w:rPr>
              <w:rFonts w:cstheme="minorHAnsi"/>
              <w:sz w:val="20"/>
            </w:rPr>
            <w:id w:val="96854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 w:themeFill="background1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  <w:shd w:val="clear" w:color="auto" w:fill="FFFFFF" w:themeFill="background1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1E-5a. Pr</w:t>
            </w:r>
            <w:r>
              <w:rPr>
                <w:rFonts w:cstheme="minorHAnsi"/>
                <w:bCs/>
                <w:sz w:val="20"/>
              </w:rPr>
              <w:t xml:space="preserve">ovide the date the CoC notified </w:t>
            </w:r>
            <w:r w:rsidRPr="000507B7">
              <w:rPr>
                <w:rFonts w:cstheme="minorHAnsi"/>
                <w:bCs/>
                <w:sz w:val="20"/>
              </w:rPr>
              <w:t>applica</w:t>
            </w:r>
            <w:r>
              <w:rPr>
                <w:rFonts w:cstheme="minorHAnsi"/>
                <w:bCs/>
                <w:sz w:val="20"/>
              </w:rPr>
              <w:t xml:space="preserve">nt(s) their application(s) were </w:t>
            </w:r>
            <w:r w:rsidRPr="000507B7">
              <w:rPr>
                <w:rFonts w:cstheme="minorHAnsi"/>
                <w:bCs/>
                <w:sz w:val="20"/>
              </w:rPr>
              <w:t xml:space="preserve">accepted and </w:t>
            </w:r>
            <w:r>
              <w:rPr>
                <w:rFonts w:cstheme="minorHAnsi"/>
                <w:bCs/>
                <w:sz w:val="20"/>
              </w:rPr>
              <w:t xml:space="preserve">ranked on the Priority Listing, </w:t>
            </w:r>
            <w:r w:rsidRPr="000507B7">
              <w:rPr>
                <w:rFonts w:cstheme="minorHAnsi"/>
                <w:bCs/>
                <w:sz w:val="20"/>
              </w:rPr>
              <w:t>in writing, outside of e-snaps.</w:t>
            </w:r>
          </w:p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color w:val="FF0000"/>
                <w:sz w:val="20"/>
              </w:rPr>
              <w:t>Attachment Required</w:t>
            </w:r>
            <w:r>
              <w:rPr>
                <w:rFonts w:cstheme="minorHAnsi"/>
                <w:bCs/>
                <w:sz w:val="20"/>
              </w:rPr>
              <w:t xml:space="preserve">: Copies of the written </w:t>
            </w:r>
            <w:r w:rsidRPr="000507B7">
              <w:rPr>
                <w:rFonts w:cstheme="minorHAnsi"/>
                <w:bCs/>
                <w:sz w:val="20"/>
              </w:rPr>
              <w:t>notificatio</w:t>
            </w:r>
            <w:r>
              <w:rPr>
                <w:rFonts w:cstheme="minorHAnsi"/>
                <w:bCs/>
                <w:sz w:val="20"/>
              </w:rPr>
              <w:t xml:space="preserve">n to project applicant(s) their </w:t>
            </w:r>
            <w:r w:rsidRPr="000507B7">
              <w:rPr>
                <w:rFonts w:cstheme="minorHAnsi"/>
                <w:bCs/>
                <w:sz w:val="20"/>
              </w:rPr>
              <w:t>project a</w:t>
            </w:r>
            <w:r>
              <w:rPr>
                <w:rFonts w:cstheme="minorHAnsi"/>
                <w:bCs/>
                <w:sz w:val="20"/>
              </w:rPr>
              <w:t xml:space="preserve">pplication(s) were accepted and </w:t>
            </w:r>
            <w:r w:rsidRPr="000507B7">
              <w:rPr>
                <w:rFonts w:cstheme="minorHAnsi"/>
                <w:bCs/>
                <w:sz w:val="20"/>
              </w:rPr>
              <w:t>ranked on the Priority listing.</w:t>
            </w:r>
          </w:p>
        </w:tc>
        <w:tc>
          <w:tcPr>
            <w:tcW w:w="540" w:type="dxa"/>
            <w:shd w:val="clear" w:color="auto" w:fill="FFFFFF" w:themeFill="background1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Project</w:t>
            </w:r>
          </w:p>
        </w:tc>
        <w:sdt>
          <w:sdtPr>
            <w:rPr>
              <w:rFonts w:cstheme="minorHAnsi"/>
              <w:sz w:val="20"/>
            </w:rPr>
            <w:id w:val="-7790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 w:themeFill="background1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  <w:shd w:val="clear" w:color="auto" w:fill="B2A1C7" w:themeFill="accent4" w:themeFillTint="99"/>
          </w:tcPr>
          <w:p w:rsidR="001322C8" w:rsidRPr="000507B7" w:rsidRDefault="001322C8" w:rsidP="001322C8">
            <w:pPr>
              <w:pStyle w:val="Heading1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0507B7">
              <w:rPr>
                <w:rFonts w:asciiTheme="minorHAnsi" w:hAnsiTheme="minorHAnsi" w:cstheme="minorHAnsi"/>
                <w:b w:val="0"/>
                <w:sz w:val="20"/>
                <w:szCs w:val="22"/>
              </w:rPr>
              <w:t>2A. Homeless Management Information System (HMIS) Implementation</w:t>
            </w:r>
          </w:p>
        </w:tc>
        <w:tc>
          <w:tcPr>
            <w:tcW w:w="54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CA</w:t>
            </w:r>
          </w:p>
        </w:tc>
        <w:tc>
          <w:tcPr>
            <w:tcW w:w="117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Consultants</w:t>
            </w:r>
          </w:p>
        </w:tc>
        <w:tc>
          <w:tcPr>
            <w:tcW w:w="63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CoC</w:t>
            </w:r>
          </w:p>
        </w:tc>
        <w:tc>
          <w:tcPr>
            <w:tcW w:w="108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Committee</w:t>
            </w:r>
          </w:p>
        </w:tc>
        <w:tc>
          <w:tcPr>
            <w:tcW w:w="360" w:type="dxa"/>
            <w:shd w:val="clear" w:color="auto" w:fill="B2A1C7" w:themeFill="accent4" w:themeFillTint="99"/>
          </w:tcPr>
          <w:p w:rsidR="001322C8" w:rsidRPr="000507B7" w:rsidRDefault="001322C8" w:rsidP="001322C8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1322C8" w:rsidRPr="000507B7" w:rsidTr="00DD7365">
        <w:tc>
          <w:tcPr>
            <w:tcW w:w="7357" w:type="dxa"/>
            <w:shd w:val="clear" w:color="auto" w:fill="auto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2A-</w:t>
            </w:r>
            <w:r>
              <w:rPr>
                <w:rFonts w:cstheme="minorHAnsi"/>
                <w:bCs/>
                <w:sz w:val="20"/>
              </w:rPr>
              <w:t xml:space="preserve">1. Does the CoC have in place a </w:t>
            </w:r>
            <w:r w:rsidRPr="000507B7">
              <w:rPr>
                <w:rFonts w:cstheme="minorHAnsi"/>
                <w:bCs/>
                <w:sz w:val="20"/>
              </w:rPr>
              <w:t>Gove</w:t>
            </w:r>
            <w:r>
              <w:rPr>
                <w:rFonts w:cstheme="minorHAnsi"/>
                <w:bCs/>
                <w:sz w:val="20"/>
              </w:rPr>
              <w:t xml:space="preserve">rnance Charter or other written </w:t>
            </w:r>
            <w:r w:rsidRPr="000507B7">
              <w:rPr>
                <w:rFonts w:cstheme="minorHAnsi"/>
                <w:bCs/>
                <w:sz w:val="20"/>
              </w:rPr>
              <w:t>documentatio</w:t>
            </w:r>
            <w:r>
              <w:rPr>
                <w:rFonts w:cstheme="minorHAnsi"/>
                <w:bCs/>
                <w:sz w:val="20"/>
              </w:rPr>
              <w:t xml:space="preserve">n (e.g., MOU/MOA) that outlines </w:t>
            </w:r>
            <w:r w:rsidRPr="000507B7">
              <w:rPr>
                <w:rFonts w:cstheme="minorHAnsi"/>
                <w:bCs/>
                <w:sz w:val="20"/>
              </w:rPr>
              <w:t>the roles and responsibili</w:t>
            </w:r>
            <w:r>
              <w:rPr>
                <w:rFonts w:cstheme="minorHAnsi"/>
                <w:bCs/>
                <w:sz w:val="20"/>
              </w:rPr>
              <w:t xml:space="preserve">ties of the CoC &amp; </w:t>
            </w:r>
            <w:r w:rsidRPr="000507B7">
              <w:rPr>
                <w:rFonts w:cstheme="minorHAnsi"/>
                <w:bCs/>
                <w:sz w:val="20"/>
              </w:rPr>
              <w:t>HMIS Lead?</w:t>
            </w:r>
          </w:p>
          <w:p w:rsidR="001322C8" w:rsidRPr="00495DE3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color w:val="FF0000"/>
                <w:sz w:val="20"/>
              </w:rPr>
              <w:t xml:space="preserve">Attachment Required: </w:t>
            </w:r>
            <w:r>
              <w:rPr>
                <w:rFonts w:cstheme="minorHAnsi"/>
                <w:bCs/>
                <w:sz w:val="20"/>
              </w:rPr>
              <w:t xml:space="preserve">If “Yes” is selected, a </w:t>
            </w:r>
            <w:r w:rsidRPr="000507B7">
              <w:rPr>
                <w:rFonts w:cstheme="minorHAnsi"/>
                <w:bCs/>
                <w:sz w:val="20"/>
              </w:rPr>
              <w:t>copy of</w:t>
            </w:r>
            <w:r>
              <w:rPr>
                <w:rFonts w:cstheme="minorHAnsi"/>
                <w:bCs/>
                <w:sz w:val="20"/>
              </w:rPr>
              <w:t xml:space="preserve"> the sections of the Governance </w:t>
            </w:r>
            <w:r w:rsidRPr="000507B7">
              <w:rPr>
                <w:rFonts w:cstheme="minorHAnsi"/>
                <w:bCs/>
                <w:sz w:val="20"/>
              </w:rPr>
              <w:t xml:space="preserve">Charter, </w:t>
            </w:r>
            <w:r>
              <w:rPr>
                <w:rFonts w:cstheme="minorHAnsi"/>
                <w:bCs/>
                <w:sz w:val="20"/>
              </w:rPr>
              <w:t>or MOU/MOA addressing roles &amp; responsibilities of the CoC &amp;</w:t>
            </w:r>
            <w:r w:rsidRPr="000507B7">
              <w:rPr>
                <w:rFonts w:cstheme="minorHAnsi"/>
                <w:bCs/>
                <w:sz w:val="20"/>
              </w:rPr>
              <w:t xml:space="preserve"> HMIS Lead</w:t>
            </w:r>
          </w:p>
        </w:tc>
        <w:tc>
          <w:tcPr>
            <w:tcW w:w="540" w:type="dxa"/>
            <w:shd w:val="clear" w:color="auto" w:fill="auto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Steering</w:t>
            </w:r>
          </w:p>
        </w:tc>
        <w:sdt>
          <w:sdtPr>
            <w:rPr>
              <w:rFonts w:cstheme="minorHAnsi"/>
              <w:sz w:val="20"/>
            </w:rPr>
            <w:id w:val="-41161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495DE3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2A-1a. Provi</w:t>
            </w:r>
            <w:r>
              <w:rPr>
                <w:rFonts w:cstheme="minorHAnsi"/>
                <w:bCs/>
                <w:sz w:val="20"/>
              </w:rPr>
              <w:t xml:space="preserve">de the page number(s) where the </w:t>
            </w:r>
            <w:r w:rsidRPr="000507B7">
              <w:rPr>
                <w:rFonts w:cstheme="minorHAnsi"/>
                <w:bCs/>
                <w:sz w:val="20"/>
              </w:rPr>
              <w:t>roles and respon</w:t>
            </w:r>
            <w:r>
              <w:rPr>
                <w:rFonts w:cstheme="minorHAnsi"/>
                <w:bCs/>
                <w:sz w:val="20"/>
              </w:rPr>
              <w:t xml:space="preserve">sibilities of the CoC and </w:t>
            </w:r>
            <w:r w:rsidRPr="000507B7">
              <w:rPr>
                <w:rFonts w:cstheme="minorHAnsi"/>
                <w:bCs/>
                <w:sz w:val="20"/>
              </w:rPr>
              <w:t>HMIS Le</w:t>
            </w:r>
            <w:r>
              <w:rPr>
                <w:rFonts w:cstheme="minorHAnsi"/>
                <w:bCs/>
                <w:sz w:val="20"/>
              </w:rPr>
              <w:t xml:space="preserve">ad can be found in the attached </w:t>
            </w:r>
            <w:r w:rsidRPr="000507B7">
              <w:rPr>
                <w:rFonts w:cstheme="minorHAnsi"/>
                <w:bCs/>
                <w:sz w:val="20"/>
              </w:rPr>
              <w:t>document(s) r</w:t>
            </w:r>
            <w:r>
              <w:rPr>
                <w:rFonts w:cstheme="minorHAnsi"/>
                <w:bCs/>
                <w:sz w:val="20"/>
              </w:rPr>
              <w:t xml:space="preserve">eferenced in 2A-1. In addition, </w:t>
            </w:r>
            <w:r w:rsidRPr="000507B7">
              <w:rPr>
                <w:rFonts w:cstheme="minorHAnsi"/>
                <w:bCs/>
                <w:sz w:val="20"/>
              </w:rPr>
              <w:t>indicate if</w:t>
            </w:r>
            <w:r>
              <w:rPr>
                <w:rFonts w:cstheme="minorHAnsi"/>
                <w:bCs/>
                <w:sz w:val="20"/>
              </w:rPr>
              <w:t xml:space="preserve"> the page number applies to the </w:t>
            </w:r>
            <w:r w:rsidRPr="000507B7">
              <w:rPr>
                <w:rFonts w:cstheme="minorHAnsi"/>
                <w:bCs/>
                <w:sz w:val="20"/>
              </w:rPr>
              <w:t>Governance Charter or MOU/MOA.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Steering</w:t>
            </w:r>
          </w:p>
        </w:tc>
        <w:sdt>
          <w:sdtPr>
            <w:rPr>
              <w:rFonts w:cstheme="minorHAnsi"/>
              <w:sz w:val="20"/>
            </w:rPr>
            <w:id w:val="-175889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2A-2. Does t</w:t>
            </w:r>
            <w:r>
              <w:rPr>
                <w:rFonts w:cstheme="minorHAnsi"/>
                <w:bCs/>
                <w:sz w:val="20"/>
              </w:rPr>
              <w:t xml:space="preserve">he CoC have a HMIS Policies and </w:t>
            </w:r>
            <w:r w:rsidRPr="000507B7">
              <w:rPr>
                <w:rFonts w:cstheme="minorHAnsi"/>
                <w:bCs/>
                <w:sz w:val="20"/>
              </w:rPr>
              <w:t xml:space="preserve">Procedures Manual? </w:t>
            </w:r>
          </w:p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1322C8">
              <w:rPr>
                <w:rFonts w:cstheme="minorHAnsi"/>
                <w:bCs/>
                <w:color w:val="FF0000"/>
                <w:sz w:val="20"/>
              </w:rPr>
              <w:t xml:space="preserve">Attachment Required: </w:t>
            </w:r>
            <w:r>
              <w:rPr>
                <w:rFonts w:cstheme="minorHAnsi"/>
                <w:bCs/>
                <w:sz w:val="20"/>
              </w:rPr>
              <w:t xml:space="preserve">If </w:t>
            </w:r>
            <w:r w:rsidRPr="000507B7">
              <w:rPr>
                <w:rFonts w:cstheme="minorHAnsi"/>
                <w:bCs/>
                <w:sz w:val="20"/>
              </w:rPr>
              <w:t xml:space="preserve">the response </w:t>
            </w:r>
            <w:r>
              <w:rPr>
                <w:rFonts w:cstheme="minorHAnsi"/>
                <w:bCs/>
                <w:sz w:val="20"/>
              </w:rPr>
              <w:t xml:space="preserve">was “Yes”, attach a copy of the </w:t>
            </w:r>
            <w:r w:rsidRPr="000507B7">
              <w:rPr>
                <w:rFonts w:cstheme="minorHAnsi"/>
                <w:bCs/>
                <w:sz w:val="20"/>
              </w:rPr>
              <w:t>HMIS Policies and Procedures Manual.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133041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2A-3. What i</w:t>
            </w:r>
            <w:r>
              <w:rPr>
                <w:rFonts w:cstheme="minorHAnsi"/>
                <w:bCs/>
                <w:sz w:val="20"/>
              </w:rPr>
              <w:t xml:space="preserve">s the name of the HMIS software </w:t>
            </w:r>
            <w:r w:rsidRPr="000507B7">
              <w:rPr>
                <w:rFonts w:cstheme="minorHAnsi"/>
                <w:bCs/>
                <w:sz w:val="20"/>
              </w:rPr>
              <w:t>vendor?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39763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2A-4. Using</w:t>
            </w:r>
            <w:r w:rsidRPr="000507B7">
              <w:rPr>
                <w:rFonts w:cstheme="minorHAnsi"/>
                <w:bCs/>
                <w:sz w:val="20"/>
              </w:rPr>
              <w:t xml:space="preserve"> drop-down boxes, select the</w:t>
            </w:r>
            <w:r>
              <w:rPr>
                <w:rFonts w:cstheme="minorHAnsi"/>
                <w:bCs/>
                <w:sz w:val="20"/>
              </w:rPr>
              <w:t xml:space="preserve"> </w:t>
            </w:r>
            <w:r w:rsidRPr="000507B7">
              <w:rPr>
                <w:rFonts w:cstheme="minorHAnsi"/>
                <w:bCs/>
                <w:sz w:val="20"/>
              </w:rPr>
              <w:t>HMIS implementation Coverage area.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82154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 xml:space="preserve">2A-5. Per the 2017 HIC use the following </w:t>
            </w:r>
            <w:r>
              <w:rPr>
                <w:rFonts w:cstheme="minorHAnsi"/>
                <w:bCs/>
                <w:sz w:val="20"/>
              </w:rPr>
              <w:t xml:space="preserve">chart to indicate the number of </w:t>
            </w:r>
            <w:r w:rsidRPr="000507B7">
              <w:rPr>
                <w:rFonts w:cstheme="minorHAnsi"/>
                <w:bCs/>
                <w:sz w:val="20"/>
              </w:rPr>
              <w:t>beds in the 2017 HIC and in HMIS for each pr</w:t>
            </w:r>
            <w:r>
              <w:rPr>
                <w:rFonts w:cstheme="minorHAnsi"/>
                <w:bCs/>
                <w:sz w:val="20"/>
              </w:rPr>
              <w:t xml:space="preserve">oject type within the CoC. If a </w:t>
            </w:r>
            <w:r w:rsidRPr="000507B7">
              <w:rPr>
                <w:rFonts w:cstheme="minorHAnsi"/>
                <w:bCs/>
                <w:sz w:val="20"/>
              </w:rPr>
              <w:t>particular project type does not exist in the CoC then enter "0" for all cells in that project type.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79486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2A-5a. To receive partial credit, if the</w:t>
            </w:r>
            <w:r>
              <w:rPr>
                <w:rFonts w:cstheme="minorHAnsi"/>
                <w:bCs/>
                <w:sz w:val="20"/>
              </w:rPr>
              <w:t xml:space="preserve"> bed coverage rate is below 85 </w:t>
            </w:r>
            <w:r w:rsidRPr="000507B7">
              <w:rPr>
                <w:rFonts w:cstheme="minorHAnsi"/>
                <w:bCs/>
                <w:sz w:val="20"/>
              </w:rPr>
              <w:t xml:space="preserve">percent for any of the project types, the </w:t>
            </w:r>
            <w:r>
              <w:rPr>
                <w:rFonts w:cstheme="minorHAnsi"/>
                <w:bCs/>
                <w:sz w:val="20"/>
              </w:rPr>
              <w:t xml:space="preserve">CoC must provide clear steps on </w:t>
            </w:r>
            <w:r w:rsidRPr="000507B7">
              <w:rPr>
                <w:rFonts w:cstheme="minorHAnsi"/>
                <w:bCs/>
                <w:sz w:val="20"/>
              </w:rPr>
              <w:t>how it intends to increase this percentage</w:t>
            </w:r>
            <w:r>
              <w:rPr>
                <w:rFonts w:cstheme="minorHAnsi"/>
                <w:bCs/>
                <w:sz w:val="20"/>
              </w:rPr>
              <w:t xml:space="preserve"> for each project type over the next 12 months. </w:t>
            </w:r>
            <w:r w:rsidRPr="000507B7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171215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2A-6. A</w:t>
            </w:r>
            <w:r>
              <w:rPr>
                <w:rFonts w:cstheme="minorHAnsi"/>
                <w:bCs/>
                <w:sz w:val="20"/>
              </w:rPr>
              <w:t xml:space="preserve">nnual Housing Assessment Report </w:t>
            </w:r>
            <w:r w:rsidRPr="000507B7">
              <w:rPr>
                <w:rFonts w:cstheme="minorHAnsi"/>
                <w:bCs/>
                <w:sz w:val="20"/>
              </w:rPr>
              <w:t>(AH</w:t>
            </w:r>
            <w:r>
              <w:rPr>
                <w:rFonts w:cstheme="minorHAnsi"/>
                <w:bCs/>
                <w:sz w:val="20"/>
              </w:rPr>
              <w:t xml:space="preserve">AR) Submission: How many Annual </w:t>
            </w:r>
            <w:r w:rsidRPr="000507B7">
              <w:rPr>
                <w:rFonts w:cstheme="minorHAnsi"/>
                <w:bCs/>
                <w:sz w:val="20"/>
              </w:rPr>
              <w:t xml:space="preserve">Housing </w:t>
            </w:r>
            <w:r>
              <w:rPr>
                <w:rFonts w:cstheme="minorHAnsi"/>
                <w:bCs/>
                <w:sz w:val="20"/>
              </w:rPr>
              <w:t xml:space="preserve">Assessment Report (AHAR) tables </w:t>
            </w:r>
            <w:r w:rsidRPr="000507B7">
              <w:rPr>
                <w:rFonts w:cstheme="minorHAnsi"/>
                <w:bCs/>
                <w:sz w:val="20"/>
              </w:rPr>
              <w:t>were accepted and used in the 2016 AHAR?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83488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2A-7. Enter the date t</w:t>
            </w:r>
            <w:r>
              <w:rPr>
                <w:rFonts w:cstheme="minorHAnsi"/>
                <w:bCs/>
                <w:sz w:val="20"/>
              </w:rPr>
              <w:t xml:space="preserve">he CoC submitted the </w:t>
            </w:r>
            <w:r w:rsidRPr="000507B7">
              <w:rPr>
                <w:rFonts w:cstheme="minorHAnsi"/>
                <w:bCs/>
                <w:sz w:val="20"/>
              </w:rPr>
              <w:t xml:space="preserve">2017 Housing </w:t>
            </w:r>
            <w:r>
              <w:rPr>
                <w:rFonts w:cstheme="minorHAnsi"/>
                <w:bCs/>
                <w:sz w:val="20"/>
              </w:rPr>
              <w:t xml:space="preserve">Inventory Count (HIC) data into </w:t>
            </w:r>
            <w:r w:rsidRPr="000507B7">
              <w:rPr>
                <w:rFonts w:cstheme="minorHAnsi"/>
                <w:bCs/>
                <w:sz w:val="20"/>
              </w:rPr>
              <w:t>the Ho</w:t>
            </w:r>
            <w:r>
              <w:rPr>
                <w:rFonts w:cstheme="minorHAnsi"/>
                <w:bCs/>
                <w:sz w:val="20"/>
              </w:rPr>
              <w:t xml:space="preserve">melessness Data Exchange (HDX). </w:t>
            </w:r>
            <w:r w:rsidRPr="000507B7">
              <w:rPr>
                <w:rFonts w:cstheme="minorHAnsi"/>
                <w:bCs/>
                <w:sz w:val="20"/>
              </w:rPr>
              <w:t>(mm/</w:t>
            </w:r>
            <w:proofErr w:type="spellStart"/>
            <w:r w:rsidRPr="000507B7">
              <w:rPr>
                <w:rFonts w:cstheme="minorHAnsi"/>
                <w:bCs/>
                <w:sz w:val="20"/>
              </w:rPr>
              <w:t>dd</w:t>
            </w:r>
            <w:proofErr w:type="spellEnd"/>
            <w:r w:rsidRPr="000507B7">
              <w:rPr>
                <w:rFonts w:cstheme="minorHAnsi"/>
                <w:bCs/>
                <w:sz w:val="20"/>
              </w:rPr>
              <w:t>/</w:t>
            </w:r>
            <w:proofErr w:type="spellStart"/>
            <w:r w:rsidRPr="000507B7">
              <w:rPr>
                <w:rFonts w:cstheme="minorHAnsi"/>
                <w:bCs/>
                <w:sz w:val="20"/>
              </w:rPr>
              <w:t>yyyy</w:t>
            </w:r>
            <w:proofErr w:type="spellEnd"/>
            <w:r w:rsidRPr="000507B7">
              <w:rPr>
                <w:rFonts w:cstheme="minorHAnsi"/>
                <w:bCs/>
                <w:sz w:val="20"/>
              </w:rPr>
              <w:t>)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146079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  <w:shd w:val="clear" w:color="auto" w:fill="B2A1C7" w:themeFill="accent4" w:themeFillTint="99"/>
          </w:tcPr>
          <w:p w:rsidR="001322C8" w:rsidRPr="000507B7" w:rsidRDefault="001322C8" w:rsidP="001322C8">
            <w:pPr>
              <w:pStyle w:val="Heading1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0507B7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  <w:t>2B. Continuum of Care (CoC) Point-in-Time Count</w:t>
            </w:r>
          </w:p>
        </w:tc>
        <w:tc>
          <w:tcPr>
            <w:tcW w:w="54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CA</w:t>
            </w:r>
          </w:p>
        </w:tc>
        <w:tc>
          <w:tcPr>
            <w:tcW w:w="117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Consultants</w:t>
            </w:r>
          </w:p>
        </w:tc>
        <w:tc>
          <w:tcPr>
            <w:tcW w:w="63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CoC</w:t>
            </w:r>
          </w:p>
        </w:tc>
        <w:tc>
          <w:tcPr>
            <w:tcW w:w="108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Committee</w:t>
            </w:r>
          </w:p>
        </w:tc>
        <w:tc>
          <w:tcPr>
            <w:tcW w:w="360" w:type="dxa"/>
            <w:shd w:val="clear" w:color="auto" w:fill="B2A1C7" w:themeFill="accent4" w:themeFillTint="99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322C8" w:rsidRPr="000507B7" w:rsidTr="00DD7365">
        <w:tc>
          <w:tcPr>
            <w:tcW w:w="7357" w:type="dxa"/>
          </w:tcPr>
          <w:p w:rsidR="001322C8" w:rsidRPr="002D2BD5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lastRenderedPageBreak/>
              <w:t>2B-1. Indicate</w:t>
            </w:r>
            <w:r>
              <w:rPr>
                <w:rFonts w:cstheme="minorHAnsi"/>
                <w:bCs/>
                <w:sz w:val="20"/>
              </w:rPr>
              <w:t xml:space="preserve"> the date of the CoC’s 2017 PIT </w:t>
            </w:r>
            <w:r w:rsidRPr="000507B7">
              <w:rPr>
                <w:rFonts w:cstheme="minorHAnsi"/>
                <w:bCs/>
                <w:sz w:val="20"/>
              </w:rPr>
              <w:t>count (mm/</w:t>
            </w:r>
            <w:proofErr w:type="spellStart"/>
            <w:r w:rsidRPr="000507B7">
              <w:rPr>
                <w:rFonts w:cstheme="minorHAnsi"/>
                <w:bCs/>
                <w:sz w:val="20"/>
              </w:rPr>
              <w:t>dd</w:t>
            </w:r>
            <w:proofErr w:type="spellEnd"/>
            <w:r w:rsidRPr="000507B7">
              <w:rPr>
                <w:rFonts w:cstheme="minorHAnsi"/>
                <w:bCs/>
                <w:sz w:val="20"/>
              </w:rPr>
              <w:t>/</w:t>
            </w:r>
            <w:proofErr w:type="spellStart"/>
            <w:r w:rsidRPr="000507B7">
              <w:rPr>
                <w:rFonts w:cstheme="minorHAnsi"/>
                <w:bCs/>
                <w:sz w:val="20"/>
              </w:rPr>
              <w:t>yyyy</w:t>
            </w:r>
            <w:proofErr w:type="spellEnd"/>
            <w:r w:rsidRPr="000507B7">
              <w:rPr>
                <w:rFonts w:cstheme="minorHAnsi"/>
                <w:bCs/>
                <w:sz w:val="20"/>
              </w:rPr>
              <w:t>). If the</w:t>
            </w:r>
            <w:r>
              <w:rPr>
                <w:rFonts w:cstheme="minorHAnsi"/>
                <w:bCs/>
                <w:sz w:val="20"/>
              </w:rPr>
              <w:t xml:space="preserve"> PIT count was </w:t>
            </w:r>
            <w:r w:rsidRPr="000507B7">
              <w:rPr>
                <w:rFonts w:cstheme="minorHAnsi"/>
                <w:bCs/>
                <w:sz w:val="20"/>
              </w:rPr>
              <w:t>conduc</w:t>
            </w:r>
            <w:r>
              <w:rPr>
                <w:rFonts w:cstheme="minorHAnsi"/>
                <w:bCs/>
                <w:sz w:val="20"/>
              </w:rPr>
              <w:t xml:space="preserve">ted outside the last 10 days of </w:t>
            </w:r>
            <w:r w:rsidRPr="000507B7">
              <w:rPr>
                <w:rFonts w:cstheme="minorHAnsi"/>
                <w:bCs/>
                <w:sz w:val="20"/>
              </w:rPr>
              <w:t>Januar</w:t>
            </w:r>
            <w:r>
              <w:rPr>
                <w:rFonts w:cstheme="minorHAnsi"/>
                <w:bCs/>
                <w:sz w:val="20"/>
              </w:rPr>
              <w:t xml:space="preserve">y 2017, HUD will verify the CoC </w:t>
            </w:r>
            <w:r w:rsidRPr="002D2BD5">
              <w:rPr>
                <w:rFonts w:cstheme="minorHAnsi"/>
                <w:bCs/>
                <w:sz w:val="20"/>
              </w:rPr>
              <w:t>received a HUD-approved exception.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155099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2D2BD5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2B-2. Enter</w:t>
            </w:r>
            <w:r>
              <w:rPr>
                <w:rFonts w:cstheme="minorHAnsi"/>
                <w:bCs/>
                <w:sz w:val="20"/>
              </w:rPr>
              <w:t xml:space="preserve"> date the CoC submitted the PIT count data in HDX. </w:t>
            </w:r>
            <w:r w:rsidRPr="002D2BD5">
              <w:rPr>
                <w:rFonts w:cstheme="minorHAnsi"/>
                <w:bCs/>
                <w:sz w:val="20"/>
              </w:rPr>
              <w:t>(mm/</w:t>
            </w:r>
            <w:proofErr w:type="spellStart"/>
            <w:r w:rsidRPr="002D2BD5">
              <w:rPr>
                <w:rFonts w:cstheme="minorHAnsi"/>
                <w:bCs/>
                <w:sz w:val="20"/>
              </w:rPr>
              <w:t>dd</w:t>
            </w:r>
            <w:proofErr w:type="spellEnd"/>
            <w:r w:rsidRPr="002D2BD5">
              <w:rPr>
                <w:rFonts w:cstheme="minorHAnsi"/>
                <w:bCs/>
                <w:sz w:val="20"/>
              </w:rPr>
              <w:t>/</w:t>
            </w:r>
            <w:proofErr w:type="spellStart"/>
            <w:r w:rsidRPr="002D2BD5">
              <w:rPr>
                <w:rFonts w:cstheme="minorHAnsi"/>
                <w:bCs/>
                <w:sz w:val="20"/>
              </w:rPr>
              <w:t>yyyy</w:t>
            </w:r>
            <w:proofErr w:type="spellEnd"/>
            <w:r w:rsidRPr="002D2BD5">
              <w:rPr>
                <w:rFonts w:cstheme="minorHAnsi"/>
                <w:bCs/>
                <w:sz w:val="20"/>
              </w:rPr>
              <w:t>)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79372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  <w:shd w:val="clear" w:color="auto" w:fill="B2A1C7" w:themeFill="accent4" w:themeFillTint="99"/>
          </w:tcPr>
          <w:p w:rsidR="001322C8" w:rsidRPr="002D2BD5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2C. Continuum of</w:t>
            </w:r>
            <w:r>
              <w:rPr>
                <w:rFonts w:cstheme="minorHAnsi"/>
                <w:bCs/>
                <w:sz w:val="20"/>
              </w:rPr>
              <w:t xml:space="preserve"> Care (CoC) Point-in-Time (PIT) </w:t>
            </w:r>
            <w:r w:rsidRPr="000507B7">
              <w:rPr>
                <w:rFonts w:cstheme="minorHAnsi"/>
                <w:bCs/>
                <w:sz w:val="20"/>
              </w:rPr>
              <w:t>Count: Methodologies</w:t>
            </w:r>
          </w:p>
        </w:tc>
        <w:tc>
          <w:tcPr>
            <w:tcW w:w="54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CA</w:t>
            </w:r>
          </w:p>
        </w:tc>
        <w:tc>
          <w:tcPr>
            <w:tcW w:w="117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Consultants</w:t>
            </w:r>
          </w:p>
        </w:tc>
        <w:tc>
          <w:tcPr>
            <w:tcW w:w="63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CoC</w:t>
            </w:r>
          </w:p>
        </w:tc>
        <w:tc>
          <w:tcPr>
            <w:tcW w:w="108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Committee</w:t>
            </w:r>
          </w:p>
        </w:tc>
        <w:tc>
          <w:tcPr>
            <w:tcW w:w="360" w:type="dxa"/>
            <w:shd w:val="clear" w:color="auto" w:fill="B2A1C7" w:themeFill="accent4" w:themeFillTint="99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322C8" w:rsidRPr="000507B7" w:rsidTr="00DD7365">
        <w:tc>
          <w:tcPr>
            <w:tcW w:w="7357" w:type="dxa"/>
          </w:tcPr>
          <w:p w:rsidR="001322C8" w:rsidRPr="002D2BD5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2C-1. Describe any change i</w:t>
            </w:r>
            <w:r>
              <w:rPr>
                <w:rFonts w:cstheme="minorHAnsi"/>
                <w:bCs/>
                <w:sz w:val="20"/>
              </w:rPr>
              <w:t xml:space="preserve">n the CoC’s sheltered PIT count </w:t>
            </w:r>
            <w:r w:rsidRPr="000507B7">
              <w:rPr>
                <w:rFonts w:cstheme="minorHAnsi"/>
                <w:bCs/>
                <w:sz w:val="20"/>
              </w:rPr>
              <w:t>implementation, including methodolog</w:t>
            </w:r>
            <w:r>
              <w:rPr>
                <w:rFonts w:cstheme="minorHAnsi"/>
                <w:bCs/>
                <w:sz w:val="20"/>
              </w:rPr>
              <w:t xml:space="preserve">y and data quality changes from 2016 to 2017. </w:t>
            </w:r>
            <w:r w:rsidRPr="000507B7">
              <w:rPr>
                <w:rFonts w:cstheme="minorHAnsi"/>
                <w:bCs/>
                <w:sz w:val="20"/>
              </w:rPr>
              <w:t xml:space="preserve">Specifically, how </w:t>
            </w:r>
            <w:r>
              <w:rPr>
                <w:rFonts w:cstheme="minorHAnsi"/>
                <w:bCs/>
                <w:sz w:val="20"/>
              </w:rPr>
              <w:t xml:space="preserve">those changes impacted the CoC’s sheltered PIT count results. </w:t>
            </w:r>
            <w:r w:rsidRPr="002D2BD5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128996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2D2BD5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2C-2. D</w:t>
            </w:r>
            <w:r>
              <w:rPr>
                <w:rFonts w:cstheme="minorHAnsi"/>
                <w:bCs/>
                <w:sz w:val="20"/>
              </w:rPr>
              <w:t>id your CoC change its provide</w:t>
            </w:r>
            <w:r w:rsidRPr="002D2BD5">
              <w:rPr>
                <w:rFonts w:cstheme="minorHAnsi"/>
                <w:bCs/>
                <w:sz w:val="20"/>
              </w:rPr>
              <w:t>r coverage in the 2017 sheltered count?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211496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2D2BD5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2C-2a. If “Yes” was selected in 2C-</w:t>
            </w:r>
            <w:r>
              <w:rPr>
                <w:rFonts w:cstheme="minorHAnsi"/>
                <w:bCs/>
                <w:sz w:val="20"/>
              </w:rPr>
              <w:t xml:space="preserve">2, enter the change in provider  </w:t>
            </w:r>
            <w:r w:rsidRPr="000507B7">
              <w:rPr>
                <w:rFonts w:cstheme="minorHAnsi"/>
                <w:bCs/>
                <w:sz w:val="20"/>
              </w:rPr>
              <w:t>coverage in the 2017 sheltered PIT coun</w:t>
            </w:r>
            <w:r>
              <w:rPr>
                <w:rFonts w:cstheme="minorHAnsi"/>
                <w:bCs/>
                <w:sz w:val="20"/>
              </w:rPr>
              <w:t>t, including the number of beds</w:t>
            </w:r>
            <w:r w:rsidRPr="002D2BD5">
              <w:rPr>
                <w:rFonts w:cstheme="minorHAnsi"/>
                <w:bCs/>
                <w:sz w:val="20"/>
              </w:rPr>
              <w:t xml:space="preserve"> added or removed due to the change.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113980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2C-3. Did y</w:t>
            </w:r>
            <w:r>
              <w:rPr>
                <w:rFonts w:cstheme="minorHAnsi"/>
                <w:bCs/>
                <w:sz w:val="20"/>
              </w:rPr>
              <w:t xml:space="preserve">our CoC add or remove emergency </w:t>
            </w:r>
            <w:r w:rsidRPr="000507B7">
              <w:rPr>
                <w:rFonts w:cstheme="minorHAnsi"/>
                <w:bCs/>
                <w:sz w:val="20"/>
              </w:rPr>
              <w:t>shelter, transitional housing, or Sa</w:t>
            </w:r>
            <w:r>
              <w:rPr>
                <w:rFonts w:cstheme="minorHAnsi"/>
                <w:bCs/>
                <w:sz w:val="20"/>
              </w:rPr>
              <w:t xml:space="preserve">fe-Haven </w:t>
            </w:r>
            <w:r w:rsidRPr="000507B7">
              <w:rPr>
                <w:rFonts w:cstheme="minorHAnsi"/>
                <w:bCs/>
                <w:sz w:val="20"/>
              </w:rPr>
              <w:t>inventory b</w:t>
            </w:r>
            <w:r>
              <w:rPr>
                <w:rFonts w:cstheme="minorHAnsi"/>
                <w:bCs/>
                <w:sz w:val="20"/>
              </w:rPr>
              <w:t xml:space="preserve">ecause of funding specific to a </w:t>
            </w:r>
            <w:r w:rsidRPr="000507B7">
              <w:rPr>
                <w:rFonts w:cstheme="minorHAnsi"/>
                <w:bCs/>
                <w:sz w:val="20"/>
              </w:rPr>
              <w:t>Presidentially d</w:t>
            </w:r>
            <w:r>
              <w:rPr>
                <w:rFonts w:cstheme="minorHAnsi"/>
                <w:bCs/>
                <w:sz w:val="20"/>
              </w:rPr>
              <w:t xml:space="preserve">eclared disaster resulting in a </w:t>
            </w:r>
            <w:r w:rsidRPr="000507B7">
              <w:rPr>
                <w:rFonts w:cstheme="minorHAnsi"/>
                <w:bCs/>
                <w:sz w:val="20"/>
              </w:rPr>
              <w:t xml:space="preserve">change </w:t>
            </w:r>
            <w:r>
              <w:rPr>
                <w:rFonts w:cstheme="minorHAnsi"/>
                <w:bCs/>
                <w:sz w:val="20"/>
              </w:rPr>
              <w:t xml:space="preserve">to the CoC's 2017 sheltered PIT </w:t>
            </w:r>
            <w:r w:rsidRPr="000507B7">
              <w:rPr>
                <w:rFonts w:cstheme="minorHAnsi"/>
                <w:bCs/>
                <w:sz w:val="20"/>
              </w:rPr>
              <w:t>count?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203811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2C-3a. If "Yes" was selected in 2C-3, ent</w:t>
            </w:r>
            <w:r>
              <w:rPr>
                <w:rFonts w:cstheme="minorHAnsi"/>
                <w:bCs/>
                <w:sz w:val="20"/>
              </w:rPr>
              <w:t xml:space="preserve">er the number of beds that were </w:t>
            </w:r>
            <w:r w:rsidRPr="000507B7">
              <w:rPr>
                <w:rFonts w:cstheme="minorHAnsi"/>
                <w:bCs/>
                <w:sz w:val="20"/>
              </w:rPr>
              <w:t>added or removed in 2017 because of a Presidentially declared disaster.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27160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2C-4. Did the</w:t>
            </w:r>
            <w:r>
              <w:rPr>
                <w:rFonts w:cstheme="minorHAnsi"/>
                <w:bCs/>
                <w:sz w:val="20"/>
              </w:rPr>
              <w:t xml:space="preserve"> CoC change its unsheltered PIT count implementation, including </w:t>
            </w:r>
            <w:r w:rsidRPr="000507B7">
              <w:rPr>
                <w:rFonts w:cstheme="minorHAnsi"/>
                <w:bCs/>
                <w:sz w:val="20"/>
              </w:rPr>
              <w:t>methodolog</w:t>
            </w:r>
            <w:r>
              <w:rPr>
                <w:rFonts w:cstheme="minorHAnsi"/>
                <w:bCs/>
                <w:sz w:val="20"/>
              </w:rPr>
              <w:t xml:space="preserve">y and data quality changes from 2016 to 2017?  </w:t>
            </w:r>
            <w:r w:rsidRPr="000507B7">
              <w:rPr>
                <w:rFonts w:cstheme="minorHAnsi"/>
                <w:bCs/>
                <w:sz w:val="20"/>
              </w:rPr>
              <w:t>CoC</w:t>
            </w:r>
            <w:r>
              <w:rPr>
                <w:rFonts w:cstheme="minorHAnsi"/>
                <w:bCs/>
                <w:sz w:val="20"/>
              </w:rPr>
              <w:t>’</w:t>
            </w:r>
            <w:r w:rsidRPr="000507B7">
              <w:rPr>
                <w:rFonts w:cstheme="minorHAnsi"/>
                <w:bCs/>
                <w:sz w:val="20"/>
              </w:rPr>
              <w:t>s that</w:t>
            </w:r>
            <w:r>
              <w:rPr>
                <w:rFonts w:cstheme="minorHAnsi"/>
                <w:bCs/>
                <w:sz w:val="20"/>
              </w:rPr>
              <w:t xml:space="preserve"> did not conduct an unsheltered </w:t>
            </w:r>
            <w:r w:rsidRPr="000507B7">
              <w:rPr>
                <w:rFonts w:cstheme="minorHAnsi"/>
                <w:bCs/>
                <w:sz w:val="20"/>
              </w:rPr>
              <w:t>count in 2016 or did not report un</w:t>
            </w:r>
            <w:r>
              <w:rPr>
                <w:rFonts w:cstheme="minorHAnsi"/>
                <w:bCs/>
                <w:sz w:val="20"/>
              </w:rPr>
              <w:t xml:space="preserve">sheltered </w:t>
            </w:r>
            <w:r w:rsidRPr="000507B7">
              <w:rPr>
                <w:rFonts w:cstheme="minorHAnsi"/>
                <w:bCs/>
                <w:sz w:val="20"/>
              </w:rPr>
              <w:t>PIT c</w:t>
            </w:r>
            <w:r>
              <w:rPr>
                <w:rFonts w:cstheme="minorHAnsi"/>
                <w:bCs/>
                <w:sz w:val="20"/>
              </w:rPr>
              <w:t xml:space="preserve">ount data to HUD in 2016 should </w:t>
            </w:r>
            <w:r w:rsidRPr="000507B7">
              <w:rPr>
                <w:rFonts w:cstheme="minorHAnsi"/>
                <w:bCs/>
                <w:sz w:val="20"/>
              </w:rPr>
              <w:t>compare their effo</w:t>
            </w:r>
            <w:r>
              <w:rPr>
                <w:rFonts w:cstheme="minorHAnsi"/>
                <w:bCs/>
                <w:sz w:val="20"/>
              </w:rPr>
              <w:t xml:space="preserve">rts in 2017 to efforts in </w:t>
            </w:r>
            <w:r w:rsidRPr="000507B7">
              <w:rPr>
                <w:rFonts w:cstheme="minorHAnsi"/>
                <w:bCs/>
                <w:sz w:val="20"/>
              </w:rPr>
              <w:t>2015.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Resource</w:t>
            </w:r>
          </w:p>
        </w:tc>
        <w:sdt>
          <w:sdtPr>
            <w:rPr>
              <w:rFonts w:cstheme="minorHAnsi"/>
              <w:sz w:val="20"/>
            </w:rPr>
            <w:id w:val="-108584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 xml:space="preserve">2C-4a. Describe any change in </w:t>
            </w:r>
            <w:r>
              <w:rPr>
                <w:rFonts w:cstheme="minorHAnsi"/>
                <w:bCs/>
                <w:sz w:val="20"/>
              </w:rPr>
              <w:t xml:space="preserve">the CoC’s unsheltered PIT count </w:t>
            </w:r>
            <w:r w:rsidRPr="000507B7">
              <w:rPr>
                <w:rFonts w:cstheme="minorHAnsi"/>
                <w:bCs/>
                <w:sz w:val="20"/>
              </w:rPr>
              <w:t>implementation, including methodolog</w:t>
            </w:r>
            <w:r>
              <w:rPr>
                <w:rFonts w:cstheme="minorHAnsi"/>
                <w:bCs/>
                <w:sz w:val="20"/>
              </w:rPr>
              <w:t xml:space="preserve">y and data quality changes from </w:t>
            </w:r>
            <w:r w:rsidRPr="000507B7">
              <w:rPr>
                <w:rFonts w:cstheme="minorHAnsi"/>
                <w:bCs/>
                <w:sz w:val="20"/>
              </w:rPr>
              <w:t>2016 to 2017. Specify how those changes</w:t>
            </w:r>
            <w:r>
              <w:rPr>
                <w:rFonts w:cstheme="minorHAnsi"/>
                <w:bCs/>
                <w:sz w:val="20"/>
              </w:rPr>
              <w:t xml:space="preserve"> impacted the CoC’s unsheltered </w:t>
            </w:r>
            <w:r w:rsidRPr="000507B7">
              <w:rPr>
                <w:rFonts w:cstheme="minorHAnsi"/>
                <w:bCs/>
                <w:sz w:val="20"/>
              </w:rPr>
              <w:t>PIT count results. See Detailed Ins</w:t>
            </w:r>
            <w:r>
              <w:rPr>
                <w:rFonts w:cstheme="minorHAnsi"/>
                <w:bCs/>
                <w:sz w:val="20"/>
              </w:rPr>
              <w:t xml:space="preserve">tructions for more information. </w:t>
            </w:r>
            <w:r w:rsidRPr="000507B7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Resource</w:t>
            </w:r>
          </w:p>
        </w:tc>
        <w:sdt>
          <w:sdtPr>
            <w:rPr>
              <w:rFonts w:cstheme="minorHAnsi"/>
              <w:sz w:val="20"/>
            </w:rPr>
            <w:id w:val="-68551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2C-5.</w:t>
            </w:r>
            <w:r>
              <w:rPr>
                <w:rFonts w:cstheme="minorHAnsi"/>
                <w:bCs/>
                <w:sz w:val="20"/>
              </w:rPr>
              <w:t xml:space="preserve"> Did CoC implement specific </w:t>
            </w:r>
            <w:r w:rsidRPr="000507B7">
              <w:rPr>
                <w:rFonts w:cstheme="minorHAnsi"/>
                <w:bCs/>
                <w:sz w:val="20"/>
              </w:rPr>
              <w:t>mea</w:t>
            </w:r>
            <w:r>
              <w:rPr>
                <w:rFonts w:cstheme="minorHAnsi"/>
                <w:bCs/>
                <w:sz w:val="20"/>
              </w:rPr>
              <w:t>sures to identify youth in the</w:t>
            </w:r>
            <w:r w:rsidRPr="000507B7">
              <w:rPr>
                <w:rFonts w:cstheme="minorHAnsi"/>
                <w:bCs/>
                <w:sz w:val="20"/>
              </w:rPr>
              <w:t xml:space="preserve"> PIT count?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118659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2C-5a. If "Yes" was selected in 2C-5, des</w:t>
            </w:r>
            <w:r>
              <w:rPr>
                <w:rFonts w:cstheme="minorHAnsi"/>
                <w:bCs/>
                <w:sz w:val="20"/>
              </w:rPr>
              <w:t xml:space="preserve">cribe the specific measures the </w:t>
            </w:r>
            <w:r w:rsidRPr="000507B7">
              <w:rPr>
                <w:rFonts w:cstheme="minorHAnsi"/>
                <w:bCs/>
                <w:sz w:val="20"/>
              </w:rPr>
              <w:t>CoC; (1) took to identify homeless youth i</w:t>
            </w:r>
            <w:r>
              <w:rPr>
                <w:rFonts w:cstheme="minorHAnsi"/>
                <w:bCs/>
                <w:sz w:val="20"/>
              </w:rPr>
              <w:t xml:space="preserve">n the PIT count; (2) during the </w:t>
            </w:r>
            <w:r w:rsidRPr="000507B7">
              <w:rPr>
                <w:rFonts w:cstheme="minorHAnsi"/>
                <w:bCs/>
                <w:sz w:val="20"/>
              </w:rPr>
              <w:t>planning process, how stakeholders</w:t>
            </w:r>
            <w:r>
              <w:rPr>
                <w:rFonts w:cstheme="minorHAnsi"/>
                <w:bCs/>
                <w:sz w:val="20"/>
              </w:rPr>
              <w:t xml:space="preserve"> that serve homeless youth were </w:t>
            </w:r>
            <w:r w:rsidRPr="000507B7">
              <w:rPr>
                <w:rFonts w:cstheme="minorHAnsi"/>
                <w:bCs/>
                <w:sz w:val="20"/>
              </w:rPr>
              <w:t>engaged; (3) how homeless youth were engaged/involved; and</w:t>
            </w:r>
            <w:r>
              <w:rPr>
                <w:rFonts w:cstheme="minorHAnsi"/>
                <w:bCs/>
                <w:sz w:val="20"/>
              </w:rPr>
              <w:t xml:space="preserve"> (4) how the </w:t>
            </w:r>
            <w:r w:rsidRPr="000507B7">
              <w:rPr>
                <w:rFonts w:cstheme="minorHAnsi"/>
                <w:bCs/>
                <w:sz w:val="20"/>
              </w:rPr>
              <w:t>CoC worked with stakeholders to select</w:t>
            </w:r>
            <w:r>
              <w:rPr>
                <w:rFonts w:cstheme="minorHAnsi"/>
                <w:bCs/>
                <w:sz w:val="20"/>
              </w:rPr>
              <w:t xml:space="preserve"> locations where homeless youth </w:t>
            </w:r>
            <w:r w:rsidRPr="000507B7">
              <w:rPr>
                <w:rFonts w:cstheme="minorHAnsi"/>
                <w:bCs/>
                <w:sz w:val="20"/>
              </w:rPr>
              <w:t>are most likely to be identified.</w:t>
            </w:r>
            <w:r>
              <w:rPr>
                <w:rFonts w:cstheme="minorHAnsi"/>
                <w:bCs/>
                <w:sz w:val="20"/>
              </w:rPr>
              <w:t xml:space="preserve"> </w:t>
            </w:r>
            <w:r w:rsidRPr="000507B7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Resource</w:t>
            </w:r>
          </w:p>
        </w:tc>
        <w:sdt>
          <w:sdtPr>
            <w:rPr>
              <w:rFonts w:cstheme="minorHAnsi"/>
              <w:sz w:val="20"/>
            </w:rPr>
            <w:id w:val="169618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2C-6. Describe any actions the CoC imple</w:t>
            </w:r>
            <w:r>
              <w:rPr>
                <w:rFonts w:cstheme="minorHAnsi"/>
                <w:bCs/>
                <w:sz w:val="20"/>
              </w:rPr>
              <w:t xml:space="preserve">mented in its 2017 PIT count to </w:t>
            </w:r>
            <w:r w:rsidRPr="000507B7">
              <w:rPr>
                <w:rFonts w:cstheme="minorHAnsi"/>
                <w:bCs/>
                <w:sz w:val="20"/>
              </w:rPr>
              <w:t>better count individuals and families exp</w:t>
            </w:r>
            <w:r>
              <w:rPr>
                <w:rFonts w:cstheme="minorHAnsi"/>
                <w:bCs/>
                <w:sz w:val="20"/>
              </w:rPr>
              <w:t xml:space="preserve">eriencing chronic homelessness, </w:t>
            </w:r>
            <w:r w:rsidRPr="000507B7">
              <w:rPr>
                <w:rFonts w:cstheme="minorHAnsi"/>
                <w:bCs/>
                <w:sz w:val="20"/>
              </w:rPr>
              <w:t>families with children, and Vete</w:t>
            </w:r>
            <w:r>
              <w:rPr>
                <w:rFonts w:cstheme="minorHAnsi"/>
                <w:bCs/>
                <w:sz w:val="20"/>
              </w:rPr>
              <w:t xml:space="preserve">rans experiencing homelessness. </w:t>
            </w:r>
            <w:r w:rsidRPr="000507B7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Resource</w:t>
            </w:r>
          </w:p>
        </w:tc>
        <w:sdt>
          <w:sdtPr>
            <w:rPr>
              <w:rFonts w:cstheme="minorHAnsi"/>
              <w:sz w:val="20"/>
            </w:rPr>
            <w:id w:val="59938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  <w:shd w:val="clear" w:color="auto" w:fill="B2A1C7" w:themeFill="accent4" w:themeFillTint="99"/>
          </w:tcPr>
          <w:p w:rsidR="001322C8" w:rsidRPr="000507B7" w:rsidRDefault="001322C8" w:rsidP="001322C8">
            <w:pPr>
              <w:pStyle w:val="Heading1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0507B7">
              <w:rPr>
                <w:rFonts w:asciiTheme="minorHAnsi" w:hAnsiTheme="minorHAnsi" w:cstheme="minorHAnsi"/>
                <w:b w:val="0"/>
                <w:sz w:val="20"/>
                <w:szCs w:val="22"/>
              </w:rPr>
              <w:t>3A. Continuum of Care (CoC) System Performance</w:t>
            </w:r>
          </w:p>
        </w:tc>
        <w:tc>
          <w:tcPr>
            <w:tcW w:w="54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CA</w:t>
            </w:r>
          </w:p>
        </w:tc>
        <w:tc>
          <w:tcPr>
            <w:tcW w:w="117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Consultants</w:t>
            </w:r>
          </w:p>
        </w:tc>
        <w:tc>
          <w:tcPr>
            <w:tcW w:w="63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CoC</w:t>
            </w:r>
          </w:p>
        </w:tc>
        <w:tc>
          <w:tcPr>
            <w:tcW w:w="108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Committee</w:t>
            </w:r>
          </w:p>
        </w:tc>
        <w:tc>
          <w:tcPr>
            <w:tcW w:w="360" w:type="dxa"/>
            <w:shd w:val="clear" w:color="auto" w:fill="B2A1C7" w:themeFill="accent4" w:themeFillTint="99"/>
          </w:tcPr>
          <w:p w:rsidR="001322C8" w:rsidRPr="000507B7" w:rsidRDefault="001322C8" w:rsidP="001322C8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1322C8" w:rsidRPr="000507B7" w:rsidTr="00DD7365">
        <w:tc>
          <w:tcPr>
            <w:tcW w:w="7357" w:type="dxa"/>
          </w:tcPr>
          <w:p w:rsidR="001322C8" w:rsidRPr="002D2BD5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3A-1. Performance Measure: Reduction in the Num</w:t>
            </w:r>
            <w:r>
              <w:rPr>
                <w:rFonts w:cstheme="minorHAnsi"/>
                <w:bCs/>
                <w:sz w:val="20"/>
              </w:rPr>
              <w:t xml:space="preserve">ber of First-Time </w:t>
            </w:r>
            <w:r w:rsidRPr="000507B7">
              <w:rPr>
                <w:rFonts w:cstheme="minorHAnsi"/>
                <w:bCs/>
                <w:sz w:val="20"/>
              </w:rPr>
              <w:t xml:space="preserve">Homeless. Describe: (1) the numerical </w:t>
            </w:r>
            <w:r>
              <w:rPr>
                <w:rFonts w:cstheme="minorHAnsi"/>
                <w:bCs/>
                <w:sz w:val="20"/>
              </w:rPr>
              <w:t xml:space="preserve">change the CoC experienced; (2) </w:t>
            </w:r>
            <w:r w:rsidRPr="000507B7">
              <w:rPr>
                <w:rFonts w:cstheme="minorHAnsi"/>
                <w:bCs/>
                <w:sz w:val="20"/>
              </w:rPr>
              <w:t>the process the CoC used to identify ri</w:t>
            </w:r>
            <w:r>
              <w:rPr>
                <w:rFonts w:cstheme="minorHAnsi"/>
                <w:bCs/>
                <w:sz w:val="20"/>
              </w:rPr>
              <w:t xml:space="preserve">sk factors of becoming homeless </w:t>
            </w:r>
            <w:r w:rsidRPr="000507B7">
              <w:rPr>
                <w:rFonts w:cstheme="minorHAnsi"/>
                <w:bCs/>
                <w:sz w:val="20"/>
              </w:rPr>
              <w:t>for the first time; (3) the strategies in p</w:t>
            </w:r>
            <w:r>
              <w:rPr>
                <w:rFonts w:cstheme="minorHAnsi"/>
                <w:bCs/>
                <w:sz w:val="20"/>
              </w:rPr>
              <w:t xml:space="preserve">lace to address individuals and </w:t>
            </w:r>
            <w:r w:rsidRPr="000507B7">
              <w:rPr>
                <w:rFonts w:cstheme="minorHAnsi"/>
                <w:bCs/>
                <w:sz w:val="20"/>
              </w:rPr>
              <w:t>families at risk of becoming homeless; and (</w:t>
            </w:r>
            <w:r>
              <w:rPr>
                <w:rFonts w:cstheme="minorHAnsi"/>
                <w:bCs/>
                <w:sz w:val="20"/>
              </w:rPr>
              <w:t xml:space="preserve">4) the organization or position </w:t>
            </w:r>
            <w:r w:rsidRPr="000507B7">
              <w:rPr>
                <w:rFonts w:cstheme="minorHAnsi"/>
                <w:bCs/>
                <w:sz w:val="20"/>
              </w:rPr>
              <w:t>that is responsible for overseeing the CoC'</w:t>
            </w:r>
            <w:r>
              <w:rPr>
                <w:rFonts w:cstheme="minorHAnsi"/>
                <w:bCs/>
                <w:sz w:val="20"/>
              </w:rPr>
              <w:t xml:space="preserve">s strategy to reduce or end the </w:t>
            </w:r>
            <w:r w:rsidRPr="000507B7">
              <w:rPr>
                <w:rFonts w:cstheme="minorHAnsi"/>
                <w:bCs/>
                <w:sz w:val="20"/>
              </w:rPr>
              <w:t>number of individuals and families ex</w:t>
            </w:r>
            <w:r>
              <w:rPr>
                <w:rFonts w:cstheme="minorHAnsi"/>
                <w:bCs/>
                <w:sz w:val="20"/>
              </w:rPr>
              <w:t xml:space="preserve">periencing homelessness for the first time. </w:t>
            </w:r>
            <w:r w:rsidRPr="002D2BD5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192140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2D2BD5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3A-2. Performance Me</w:t>
            </w:r>
            <w:r>
              <w:rPr>
                <w:rFonts w:cstheme="minorHAnsi"/>
                <w:bCs/>
                <w:sz w:val="20"/>
              </w:rPr>
              <w:t>asure: Length-of-Time Homeless. CoC’</w:t>
            </w:r>
            <w:r w:rsidRPr="000507B7">
              <w:rPr>
                <w:rFonts w:cstheme="minorHAnsi"/>
                <w:bCs/>
                <w:sz w:val="20"/>
              </w:rPr>
              <w:t>s must demonstrate how the</w:t>
            </w:r>
            <w:r>
              <w:rPr>
                <w:rFonts w:cstheme="minorHAnsi"/>
                <w:bCs/>
                <w:sz w:val="20"/>
              </w:rPr>
              <w:t xml:space="preserve">y reduce the length-of-time for </w:t>
            </w:r>
            <w:r w:rsidRPr="000507B7">
              <w:rPr>
                <w:rFonts w:cstheme="minorHAnsi"/>
                <w:bCs/>
                <w:sz w:val="20"/>
              </w:rPr>
              <w:t>individuals and families remaining homel</w:t>
            </w:r>
            <w:r>
              <w:rPr>
                <w:rFonts w:cstheme="minorHAnsi"/>
                <w:bCs/>
                <w:sz w:val="20"/>
              </w:rPr>
              <w:t xml:space="preserve">ess. Describe (1) the numerical </w:t>
            </w:r>
            <w:r w:rsidRPr="000507B7">
              <w:rPr>
                <w:rFonts w:cstheme="minorHAnsi"/>
                <w:bCs/>
                <w:sz w:val="20"/>
              </w:rPr>
              <w:t>change the CoC experienced; (2) the actions the CoC has implement</w:t>
            </w:r>
            <w:r>
              <w:rPr>
                <w:rFonts w:cstheme="minorHAnsi"/>
                <w:bCs/>
                <w:sz w:val="20"/>
              </w:rPr>
              <w:t xml:space="preserve">ed to </w:t>
            </w:r>
            <w:r w:rsidRPr="000507B7">
              <w:rPr>
                <w:rFonts w:cstheme="minorHAnsi"/>
                <w:bCs/>
                <w:sz w:val="20"/>
              </w:rPr>
              <w:t>reduce the length-of-time individuals an</w:t>
            </w:r>
            <w:r>
              <w:rPr>
                <w:rFonts w:cstheme="minorHAnsi"/>
                <w:bCs/>
                <w:sz w:val="20"/>
              </w:rPr>
              <w:t xml:space="preserve">d families remain homeless; (3) </w:t>
            </w:r>
            <w:r w:rsidRPr="000507B7">
              <w:rPr>
                <w:rFonts w:cstheme="minorHAnsi"/>
                <w:bCs/>
                <w:sz w:val="20"/>
              </w:rPr>
              <w:t>how the CoC identifies and houses in</w:t>
            </w:r>
            <w:r>
              <w:rPr>
                <w:rFonts w:cstheme="minorHAnsi"/>
                <w:bCs/>
                <w:sz w:val="20"/>
              </w:rPr>
              <w:t xml:space="preserve">dividuals and families with the </w:t>
            </w:r>
            <w:r w:rsidRPr="000507B7">
              <w:rPr>
                <w:rFonts w:cstheme="minorHAnsi"/>
                <w:bCs/>
                <w:sz w:val="20"/>
              </w:rPr>
              <w:t>longest length-of-time homeless; and (</w:t>
            </w:r>
            <w:r>
              <w:rPr>
                <w:rFonts w:cstheme="minorHAnsi"/>
                <w:bCs/>
                <w:sz w:val="20"/>
              </w:rPr>
              <w:t xml:space="preserve">4) identify the organization or </w:t>
            </w:r>
            <w:r w:rsidRPr="000507B7">
              <w:rPr>
                <w:rFonts w:cstheme="minorHAnsi"/>
                <w:bCs/>
                <w:sz w:val="20"/>
              </w:rPr>
              <w:t>position that is responsible for overseei</w:t>
            </w:r>
            <w:r>
              <w:rPr>
                <w:rFonts w:cstheme="minorHAnsi"/>
                <w:bCs/>
                <w:sz w:val="20"/>
              </w:rPr>
              <w:t xml:space="preserve">ng the CoC’s strategy to reduce </w:t>
            </w:r>
            <w:r w:rsidRPr="000507B7">
              <w:rPr>
                <w:rFonts w:cstheme="minorHAnsi"/>
                <w:bCs/>
                <w:sz w:val="20"/>
              </w:rPr>
              <w:t>the length-of-time individual</w:t>
            </w:r>
            <w:r>
              <w:rPr>
                <w:rFonts w:cstheme="minorHAnsi"/>
                <w:bCs/>
                <w:sz w:val="20"/>
              </w:rPr>
              <w:t>s and families remain homeless</w:t>
            </w:r>
            <w:r w:rsidRPr="002D2BD5">
              <w:rPr>
                <w:rFonts w:cstheme="minorHAnsi"/>
                <w:b/>
                <w:bCs/>
                <w:sz w:val="20"/>
              </w:rPr>
              <w:t xml:space="preserve">. </w:t>
            </w:r>
            <w:r w:rsidRPr="002D2BD5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141227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2D2BD5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3A-3. Performance Measures: Success</w:t>
            </w:r>
            <w:r>
              <w:rPr>
                <w:rFonts w:cstheme="minorHAnsi"/>
                <w:bCs/>
                <w:sz w:val="20"/>
              </w:rPr>
              <w:t xml:space="preserve">ful Permanent Housing Placement and Retention </w:t>
            </w:r>
            <w:r w:rsidRPr="000507B7">
              <w:rPr>
                <w:rFonts w:cstheme="minorHAnsi"/>
                <w:bCs/>
                <w:sz w:val="20"/>
              </w:rPr>
              <w:t>Describe: (1) the numerical change th</w:t>
            </w:r>
            <w:r>
              <w:rPr>
                <w:rFonts w:cstheme="minorHAnsi"/>
                <w:bCs/>
                <w:sz w:val="20"/>
              </w:rPr>
              <w:t xml:space="preserve">e CoC experienced; (2) the CoC’s </w:t>
            </w:r>
            <w:r w:rsidRPr="000507B7">
              <w:rPr>
                <w:rFonts w:cstheme="minorHAnsi"/>
                <w:bCs/>
                <w:sz w:val="20"/>
              </w:rPr>
              <w:t xml:space="preserve">strategy to </w:t>
            </w:r>
            <w:r w:rsidRPr="000507B7">
              <w:rPr>
                <w:rFonts w:cstheme="minorHAnsi"/>
                <w:bCs/>
                <w:sz w:val="20"/>
              </w:rPr>
              <w:lastRenderedPageBreak/>
              <w:t>increase the rate of which i</w:t>
            </w:r>
            <w:r>
              <w:rPr>
                <w:rFonts w:cstheme="minorHAnsi"/>
                <w:bCs/>
                <w:sz w:val="20"/>
              </w:rPr>
              <w:t xml:space="preserve">ndividuals and families move to </w:t>
            </w:r>
            <w:r w:rsidRPr="000507B7">
              <w:rPr>
                <w:rFonts w:cstheme="minorHAnsi"/>
                <w:bCs/>
                <w:sz w:val="20"/>
              </w:rPr>
              <w:t>permanent housing destination or retain</w:t>
            </w:r>
            <w:r>
              <w:rPr>
                <w:rFonts w:cstheme="minorHAnsi"/>
                <w:bCs/>
                <w:sz w:val="20"/>
              </w:rPr>
              <w:t xml:space="preserve"> permanent housing; and (3) the </w:t>
            </w:r>
            <w:r w:rsidRPr="000507B7">
              <w:rPr>
                <w:rFonts w:cstheme="minorHAnsi"/>
                <w:bCs/>
                <w:sz w:val="20"/>
              </w:rPr>
              <w:t>organization or position responsible for ov</w:t>
            </w:r>
            <w:r>
              <w:rPr>
                <w:rFonts w:cstheme="minorHAnsi"/>
                <w:bCs/>
                <w:sz w:val="20"/>
              </w:rPr>
              <w:t xml:space="preserve">erseeing the CoC’s strategy for </w:t>
            </w:r>
            <w:r w:rsidRPr="000507B7">
              <w:rPr>
                <w:rFonts w:cstheme="minorHAnsi"/>
                <w:bCs/>
                <w:sz w:val="20"/>
              </w:rPr>
              <w:t xml:space="preserve">retention of, or </w:t>
            </w:r>
            <w:r>
              <w:rPr>
                <w:rFonts w:cstheme="minorHAnsi"/>
                <w:bCs/>
                <w:sz w:val="20"/>
              </w:rPr>
              <w:t xml:space="preserve">placement in permanent housing. </w:t>
            </w:r>
            <w:r w:rsidRPr="000507B7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76142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2D2BD5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3A-4. Performance Me</w:t>
            </w:r>
            <w:r>
              <w:rPr>
                <w:rFonts w:cstheme="minorHAnsi"/>
                <w:bCs/>
                <w:sz w:val="20"/>
              </w:rPr>
              <w:t xml:space="preserve">asure: Returns to Homelessness. </w:t>
            </w:r>
            <w:r w:rsidRPr="000507B7">
              <w:rPr>
                <w:rFonts w:cstheme="minorHAnsi"/>
                <w:bCs/>
                <w:sz w:val="20"/>
              </w:rPr>
              <w:t>Describe: (1) the numerical chang</w:t>
            </w:r>
            <w:r>
              <w:rPr>
                <w:rFonts w:cstheme="minorHAnsi"/>
                <w:bCs/>
                <w:sz w:val="20"/>
              </w:rPr>
              <w:t xml:space="preserve">e the CoC experienced, (2) what </w:t>
            </w:r>
            <w:r w:rsidRPr="000507B7">
              <w:rPr>
                <w:rFonts w:cstheme="minorHAnsi"/>
                <w:bCs/>
                <w:sz w:val="20"/>
              </w:rPr>
              <w:t>strategies the CoC implemented to identi</w:t>
            </w:r>
            <w:r>
              <w:rPr>
                <w:rFonts w:cstheme="minorHAnsi"/>
                <w:bCs/>
                <w:sz w:val="20"/>
              </w:rPr>
              <w:t xml:space="preserve">fy individuals and families who </w:t>
            </w:r>
            <w:r w:rsidRPr="000507B7">
              <w:rPr>
                <w:rFonts w:cstheme="minorHAnsi"/>
                <w:bCs/>
                <w:sz w:val="20"/>
              </w:rPr>
              <w:t>return to homelessness, (3) the strate</w:t>
            </w:r>
            <w:r>
              <w:rPr>
                <w:rFonts w:cstheme="minorHAnsi"/>
                <w:bCs/>
                <w:sz w:val="20"/>
              </w:rPr>
              <w:t xml:space="preserve">gies the CoC will use to reduce </w:t>
            </w:r>
            <w:r w:rsidRPr="000507B7">
              <w:rPr>
                <w:rFonts w:cstheme="minorHAnsi"/>
                <w:bCs/>
                <w:sz w:val="20"/>
              </w:rPr>
              <w:t>additional returns to homelessness, and (4) the organiz</w:t>
            </w:r>
            <w:r>
              <w:rPr>
                <w:rFonts w:cstheme="minorHAnsi"/>
                <w:bCs/>
                <w:sz w:val="20"/>
              </w:rPr>
              <w:t xml:space="preserve">ation or position </w:t>
            </w:r>
            <w:r w:rsidRPr="000507B7">
              <w:rPr>
                <w:rFonts w:cstheme="minorHAnsi"/>
                <w:bCs/>
                <w:sz w:val="20"/>
              </w:rPr>
              <w:t>responsible for overseeing the CoC’</w:t>
            </w:r>
            <w:r>
              <w:rPr>
                <w:rFonts w:cstheme="minorHAnsi"/>
                <w:bCs/>
                <w:sz w:val="20"/>
              </w:rPr>
              <w:t xml:space="preserve">s efforts to reduce the rate of </w:t>
            </w:r>
            <w:r w:rsidRPr="002D2BD5">
              <w:rPr>
                <w:rFonts w:cstheme="minorHAnsi"/>
                <w:bCs/>
                <w:sz w:val="20"/>
              </w:rPr>
              <w:t>individuals and families’ returns to homelessness.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167933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 w:themeFill="background1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3A-5. Performance Measures: Job and Income Growth</w:t>
            </w:r>
            <w:r>
              <w:rPr>
                <w:rFonts w:cstheme="minorHAnsi"/>
                <w:bCs/>
                <w:sz w:val="20"/>
              </w:rPr>
              <w:t xml:space="preserve"> </w:t>
            </w:r>
            <w:r w:rsidRPr="000507B7">
              <w:rPr>
                <w:rFonts w:cstheme="minorHAnsi"/>
                <w:bCs/>
                <w:sz w:val="20"/>
              </w:rPr>
              <w:t>(limit 1000 characters)</w:t>
            </w:r>
          </w:p>
          <w:p w:rsidR="001322C8" w:rsidRPr="00DD7365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Describe: (1) the strategies that ha</w:t>
            </w:r>
            <w:r>
              <w:rPr>
                <w:rFonts w:cstheme="minorHAnsi"/>
                <w:bCs/>
                <w:sz w:val="20"/>
              </w:rPr>
              <w:t xml:space="preserve">ve been implemented to increase </w:t>
            </w:r>
            <w:r w:rsidRPr="000507B7">
              <w:rPr>
                <w:rFonts w:cstheme="minorHAnsi"/>
                <w:bCs/>
                <w:sz w:val="20"/>
              </w:rPr>
              <w:t>access to employment and mains</w:t>
            </w:r>
            <w:r>
              <w:rPr>
                <w:rFonts w:cstheme="minorHAnsi"/>
                <w:bCs/>
                <w:sz w:val="20"/>
              </w:rPr>
              <w:t xml:space="preserve">tream benefits; (2) how the CoC </w:t>
            </w:r>
            <w:r w:rsidRPr="000507B7">
              <w:rPr>
                <w:rFonts w:cstheme="minorHAnsi"/>
                <w:bCs/>
                <w:sz w:val="20"/>
              </w:rPr>
              <w:t>program-funded projects have been assist</w:t>
            </w:r>
            <w:r>
              <w:rPr>
                <w:rFonts w:cstheme="minorHAnsi"/>
                <w:bCs/>
                <w:sz w:val="20"/>
              </w:rPr>
              <w:t xml:space="preserve">ed to implement the strategies; </w:t>
            </w:r>
            <w:r w:rsidRPr="000507B7">
              <w:rPr>
                <w:rFonts w:cstheme="minorHAnsi"/>
                <w:bCs/>
                <w:sz w:val="20"/>
              </w:rPr>
              <w:t>(3) how the CoC is working with mainstr</w:t>
            </w:r>
            <w:r>
              <w:rPr>
                <w:rFonts w:cstheme="minorHAnsi"/>
                <w:bCs/>
                <w:sz w:val="20"/>
              </w:rPr>
              <w:t xml:space="preserve">eam employment organizations to </w:t>
            </w:r>
            <w:r w:rsidRPr="000507B7">
              <w:rPr>
                <w:rFonts w:cstheme="minorHAnsi"/>
                <w:bCs/>
                <w:sz w:val="20"/>
              </w:rPr>
              <w:t>help individuals and families increase</w:t>
            </w:r>
            <w:r>
              <w:rPr>
                <w:rFonts w:cstheme="minorHAnsi"/>
                <w:bCs/>
                <w:sz w:val="20"/>
              </w:rPr>
              <w:t xml:space="preserve"> their cash income; and (4) the </w:t>
            </w:r>
            <w:r w:rsidRPr="000507B7">
              <w:rPr>
                <w:rFonts w:cstheme="minorHAnsi"/>
                <w:bCs/>
                <w:sz w:val="20"/>
              </w:rPr>
              <w:t>organization or position that is respo</w:t>
            </w:r>
            <w:r>
              <w:rPr>
                <w:rFonts w:cstheme="minorHAnsi"/>
                <w:bCs/>
                <w:sz w:val="20"/>
              </w:rPr>
              <w:t xml:space="preserve">nsible for overseeing the CoC’s </w:t>
            </w:r>
            <w:r w:rsidRPr="000507B7">
              <w:rPr>
                <w:rFonts w:cstheme="minorHAnsi"/>
                <w:bCs/>
                <w:sz w:val="20"/>
              </w:rPr>
              <w:t>strategy to increase job and income growth fr</w:t>
            </w:r>
            <w:r>
              <w:rPr>
                <w:rFonts w:cstheme="minorHAnsi"/>
                <w:bCs/>
                <w:sz w:val="20"/>
              </w:rPr>
              <w:t>om employment, non-employment including mainstream benefits.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29194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 w:themeFill="background1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2D2BD5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3A-6. D</w:t>
            </w:r>
            <w:r>
              <w:rPr>
                <w:rFonts w:cstheme="minorHAnsi"/>
                <w:bCs/>
                <w:sz w:val="20"/>
              </w:rPr>
              <w:t xml:space="preserve">id the CoC completely exclude a </w:t>
            </w:r>
            <w:r w:rsidRPr="000507B7">
              <w:rPr>
                <w:rFonts w:cstheme="minorHAnsi"/>
                <w:bCs/>
                <w:sz w:val="20"/>
              </w:rPr>
              <w:t>geographi</w:t>
            </w:r>
            <w:r>
              <w:rPr>
                <w:rFonts w:cstheme="minorHAnsi"/>
                <w:bCs/>
                <w:sz w:val="20"/>
              </w:rPr>
              <w:t xml:space="preserve">c area from the most recent PIT </w:t>
            </w:r>
            <w:r w:rsidRPr="000507B7">
              <w:rPr>
                <w:rFonts w:cstheme="minorHAnsi"/>
                <w:bCs/>
                <w:sz w:val="20"/>
              </w:rPr>
              <w:t>count (i.e</w:t>
            </w:r>
            <w:r>
              <w:rPr>
                <w:rFonts w:cstheme="minorHAnsi"/>
                <w:bCs/>
                <w:sz w:val="20"/>
              </w:rPr>
              <w:t xml:space="preserve">. no one counted there, and for </w:t>
            </w:r>
            <w:r w:rsidRPr="000507B7">
              <w:rPr>
                <w:rFonts w:cstheme="minorHAnsi"/>
                <w:bCs/>
                <w:sz w:val="20"/>
              </w:rPr>
              <w:t>communities</w:t>
            </w:r>
            <w:r>
              <w:rPr>
                <w:rFonts w:cstheme="minorHAnsi"/>
                <w:bCs/>
                <w:sz w:val="20"/>
              </w:rPr>
              <w:t xml:space="preserve"> using samples in the area that </w:t>
            </w:r>
            <w:r w:rsidRPr="000507B7">
              <w:rPr>
                <w:rFonts w:cstheme="minorHAnsi"/>
                <w:bCs/>
                <w:sz w:val="20"/>
              </w:rPr>
              <w:t>was ex</w:t>
            </w:r>
            <w:r>
              <w:rPr>
                <w:rFonts w:cstheme="minorHAnsi"/>
                <w:bCs/>
                <w:sz w:val="20"/>
              </w:rPr>
              <w:t xml:space="preserve">cluded from both the sample and </w:t>
            </w:r>
            <w:r w:rsidRPr="000507B7">
              <w:rPr>
                <w:rFonts w:cstheme="minorHAnsi"/>
                <w:bCs/>
                <w:sz w:val="20"/>
              </w:rPr>
              <w:t>extrapol</w:t>
            </w:r>
            <w:r>
              <w:rPr>
                <w:rFonts w:cstheme="minorHAnsi"/>
                <w:bCs/>
                <w:sz w:val="20"/>
              </w:rPr>
              <w:t xml:space="preserve">ation) where the CoC determined </w:t>
            </w:r>
            <w:r w:rsidRPr="000507B7">
              <w:rPr>
                <w:rFonts w:cstheme="minorHAnsi"/>
                <w:bCs/>
                <w:sz w:val="20"/>
              </w:rPr>
              <w:t xml:space="preserve">there were </w:t>
            </w:r>
            <w:r>
              <w:rPr>
                <w:rFonts w:cstheme="minorHAnsi"/>
                <w:bCs/>
                <w:sz w:val="20"/>
              </w:rPr>
              <w:t xml:space="preserve">no unsheltered homeless people, </w:t>
            </w:r>
            <w:r w:rsidRPr="000507B7">
              <w:rPr>
                <w:rFonts w:cstheme="minorHAnsi"/>
                <w:bCs/>
                <w:sz w:val="20"/>
              </w:rPr>
              <w:t>includi</w:t>
            </w:r>
            <w:r>
              <w:rPr>
                <w:rFonts w:cstheme="minorHAnsi"/>
                <w:bCs/>
                <w:sz w:val="20"/>
              </w:rPr>
              <w:t xml:space="preserve">ng areas that are uninhabitable </w:t>
            </w:r>
            <w:r w:rsidRPr="000507B7">
              <w:rPr>
                <w:rFonts w:cstheme="minorHAnsi"/>
                <w:bCs/>
                <w:sz w:val="20"/>
              </w:rPr>
              <w:t>(deserts, forests).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Resource</w:t>
            </w:r>
          </w:p>
        </w:tc>
        <w:sdt>
          <w:sdtPr>
            <w:rPr>
              <w:rFonts w:cstheme="minorHAnsi"/>
              <w:sz w:val="20"/>
            </w:rPr>
            <w:id w:val="88197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 w:themeFill="background1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2D2BD5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3A.6a. If the response to 3A-6 was “</w:t>
            </w:r>
            <w:r>
              <w:rPr>
                <w:rFonts w:cstheme="minorHAnsi"/>
                <w:bCs/>
                <w:sz w:val="20"/>
              </w:rPr>
              <w:t xml:space="preserve">Yes”, what was the criteria and </w:t>
            </w:r>
            <w:r w:rsidRPr="000507B7">
              <w:rPr>
                <w:rFonts w:cstheme="minorHAnsi"/>
                <w:bCs/>
                <w:sz w:val="20"/>
              </w:rPr>
              <w:t>decision-making process the CoC used t</w:t>
            </w:r>
            <w:r>
              <w:rPr>
                <w:rFonts w:cstheme="minorHAnsi"/>
                <w:bCs/>
                <w:sz w:val="20"/>
              </w:rPr>
              <w:t xml:space="preserve">o identify and exclude specific </w:t>
            </w:r>
            <w:r w:rsidRPr="000507B7">
              <w:rPr>
                <w:rFonts w:cstheme="minorHAnsi"/>
                <w:bCs/>
                <w:sz w:val="20"/>
              </w:rPr>
              <w:t xml:space="preserve">geographic areas from </w:t>
            </w:r>
            <w:r>
              <w:rPr>
                <w:rFonts w:cstheme="minorHAnsi"/>
                <w:bCs/>
                <w:sz w:val="20"/>
              </w:rPr>
              <w:t xml:space="preserve">the CoC’s unsheltered PIT count? </w:t>
            </w:r>
            <w:r w:rsidRPr="000507B7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Resource</w:t>
            </w:r>
          </w:p>
        </w:tc>
        <w:sdt>
          <w:sdtPr>
            <w:rPr>
              <w:rFonts w:cstheme="minorHAnsi"/>
              <w:sz w:val="20"/>
            </w:rPr>
            <w:id w:val="89971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 w:themeFill="background1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2D2BD5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3A-7. Enter</w:t>
            </w:r>
            <w:r>
              <w:rPr>
                <w:rFonts w:cstheme="minorHAnsi"/>
                <w:bCs/>
                <w:sz w:val="20"/>
              </w:rPr>
              <w:t xml:space="preserve"> the date the CoC submitted the </w:t>
            </w:r>
            <w:r w:rsidRPr="000507B7">
              <w:rPr>
                <w:rFonts w:cstheme="minorHAnsi"/>
                <w:bCs/>
                <w:sz w:val="20"/>
              </w:rPr>
              <w:t>System Performance Measures data in HDX,</w:t>
            </w:r>
            <w:r>
              <w:rPr>
                <w:rFonts w:cstheme="minorHAnsi"/>
                <w:bCs/>
                <w:sz w:val="20"/>
              </w:rPr>
              <w:t xml:space="preserve"> </w:t>
            </w:r>
            <w:r w:rsidRPr="000507B7">
              <w:rPr>
                <w:rFonts w:cstheme="minorHAnsi"/>
                <w:bCs/>
                <w:sz w:val="20"/>
              </w:rPr>
              <w:t>which included the data quality section for FY</w:t>
            </w:r>
            <w:r>
              <w:rPr>
                <w:rFonts w:cstheme="minorHAnsi"/>
                <w:bCs/>
                <w:sz w:val="20"/>
              </w:rPr>
              <w:t xml:space="preserve"> </w:t>
            </w:r>
            <w:r w:rsidRPr="000507B7">
              <w:rPr>
                <w:rFonts w:cstheme="minorHAnsi"/>
                <w:bCs/>
                <w:sz w:val="20"/>
              </w:rPr>
              <w:t>2016.</w:t>
            </w:r>
            <w:r>
              <w:rPr>
                <w:rFonts w:cstheme="minorHAnsi"/>
                <w:bCs/>
                <w:sz w:val="20"/>
              </w:rPr>
              <w:t xml:space="preserve"> </w:t>
            </w:r>
            <w:r w:rsidRPr="002D2BD5">
              <w:rPr>
                <w:rFonts w:cstheme="minorHAnsi"/>
                <w:bCs/>
                <w:sz w:val="20"/>
              </w:rPr>
              <w:t>(mm/</w:t>
            </w:r>
            <w:proofErr w:type="spellStart"/>
            <w:r w:rsidRPr="002D2BD5">
              <w:rPr>
                <w:rFonts w:cstheme="minorHAnsi"/>
                <w:bCs/>
                <w:sz w:val="20"/>
              </w:rPr>
              <w:t>dd</w:t>
            </w:r>
            <w:proofErr w:type="spellEnd"/>
            <w:r w:rsidRPr="002D2BD5">
              <w:rPr>
                <w:rFonts w:cstheme="minorHAnsi"/>
                <w:bCs/>
                <w:sz w:val="20"/>
              </w:rPr>
              <w:t>/</w:t>
            </w:r>
            <w:proofErr w:type="spellStart"/>
            <w:r w:rsidRPr="002D2BD5">
              <w:rPr>
                <w:rFonts w:cstheme="minorHAnsi"/>
                <w:bCs/>
                <w:sz w:val="20"/>
              </w:rPr>
              <w:t>yyyy</w:t>
            </w:r>
            <w:proofErr w:type="spellEnd"/>
            <w:r w:rsidRPr="002D2BD5">
              <w:rPr>
                <w:rFonts w:cstheme="minorHAnsi"/>
                <w:bCs/>
                <w:sz w:val="20"/>
              </w:rPr>
              <w:t>)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121380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  <w:shd w:val="clear" w:color="auto" w:fill="B2A1C7" w:themeFill="accent4" w:themeFillTint="99"/>
          </w:tcPr>
          <w:p w:rsidR="001322C8" w:rsidRPr="000507B7" w:rsidRDefault="001322C8" w:rsidP="001322C8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0"/>
              </w:rPr>
            </w:pPr>
            <w:r w:rsidRPr="000507B7">
              <w:rPr>
                <w:rFonts w:eastAsia="Times New Roman" w:cstheme="minorHAnsi"/>
                <w:bCs/>
                <w:kern w:val="36"/>
                <w:sz w:val="20"/>
              </w:rPr>
              <w:t>3B. Continuum of Care (CoC) Performance and Strategic Planning Objective</w:t>
            </w:r>
          </w:p>
        </w:tc>
        <w:tc>
          <w:tcPr>
            <w:tcW w:w="54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CA</w:t>
            </w:r>
          </w:p>
        </w:tc>
        <w:tc>
          <w:tcPr>
            <w:tcW w:w="117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Consultants</w:t>
            </w:r>
          </w:p>
        </w:tc>
        <w:tc>
          <w:tcPr>
            <w:tcW w:w="63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CoC</w:t>
            </w:r>
          </w:p>
        </w:tc>
        <w:tc>
          <w:tcPr>
            <w:tcW w:w="108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Committee</w:t>
            </w:r>
          </w:p>
        </w:tc>
        <w:tc>
          <w:tcPr>
            <w:tcW w:w="360" w:type="dxa"/>
            <w:shd w:val="clear" w:color="auto" w:fill="B2A1C7" w:themeFill="accent4" w:themeFillTint="99"/>
          </w:tcPr>
          <w:p w:rsidR="001322C8" w:rsidRPr="000507B7" w:rsidRDefault="001322C8" w:rsidP="001322C8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1322C8" w:rsidRPr="000507B7" w:rsidTr="00DD7365">
        <w:tc>
          <w:tcPr>
            <w:tcW w:w="7357" w:type="dxa"/>
          </w:tcPr>
          <w:p w:rsidR="001322C8" w:rsidRPr="002D2BD5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3B-1. Compare the total num</w:t>
            </w:r>
            <w:r>
              <w:rPr>
                <w:rFonts w:cstheme="minorHAnsi"/>
                <w:bCs/>
                <w:sz w:val="20"/>
              </w:rPr>
              <w:t>ber of PSH beds, CoC program &amp;</w:t>
            </w:r>
            <w:r w:rsidRPr="000507B7">
              <w:rPr>
                <w:rFonts w:cstheme="minorHAnsi"/>
                <w:bCs/>
                <w:sz w:val="20"/>
              </w:rPr>
              <w:t xml:space="preserve"> non CoC</w:t>
            </w:r>
            <w:r>
              <w:rPr>
                <w:rFonts w:cstheme="minorHAnsi"/>
                <w:bCs/>
                <w:sz w:val="20"/>
              </w:rPr>
              <w:t xml:space="preserve"> program </w:t>
            </w:r>
            <w:r w:rsidRPr="000507B7">
              <w:rPr>
                <w:rFonts w:cstheme="minorHAnsi"/>
                <w:bCs/>
                <w:sz w:val="20"/>
              </w:rPr>
              <w:t>funded, that were id</w:t>
            </w:r>
            <w:r>
              <w:rPr>
                <w:rFonts w:cstheme="minorHAnsi"/>
                <w:bCs/>
                <w:sz w:val="20"/>
              </w:rPr>
              <w:t>entified as dedicated for</w:t>
            </w:r>
            <w:r w:rsidRPr="000507B7">
              <w:rPr>
                <w:rFonts w:cstheme="minorHAnsi"/>
                <w:bCs/>
                <w:sz w:val="20"/>
              </w:rPr>
              <w:t xml:space="preserve"> chronically</w:t>
            </w:r>
            <w:r>
              <w:rPr>
                <w:rFonts w:cstheme="minorHAnsi"/>
                <w:bCs/>
                <w:sz w:val="20"/>
              </w:rPr>
              <w:t xml:space="preserve"> </w:t>
            </w:r>
            <w:r w:rsidRPr="000507B7">
              <w:rPr>
                <w:rFonts w:cstheme="minorHAnsi"/>
                <w:bCs/>
                <w:sz w:val="20"/>
              </w:rPr>
              <w:t>home</w:t>
            </w:r>
            <w:r>
              <w:rPr>
                <w:rFonts w:cstheme="minorHAnsi"/>
                <w:bCs/>
                <w:sz w:val="20"/>
              </w:rPr>
              <w:t>less persons in the 2017 HIC,</w:t>
            </w:r>
            <w:r w:rsidRPr="000507B7">
              <w:rPr>
                <w:rFonts w:cstheme="minorHAnsi"/>
                <w:bCs/>
                <w:sz w:val="20"/>
              </w:rPr>
              <w:t xml:space="preserve"> comp</w:t>
            </w:r>
            <w:r>
              <w:rPr>
                <w:rFonts w:cstheme="minorHAnsi"/>
                <w:bCs/>
                <w:sz w:val="20"/>
              </w:rPr>
              <w:t xml:space="preserve">ared to those identified in the </w:t>
            </w:r>
            <w:r w:rsidRPr="002D2BD5">
              <w:rPr>
                <w:rFonts w:cstheme="minorHAnsi"/>
                <w:bCs/>
                <w:sz w:val="20"/>
              </w:rPr>
              <w:t>2016 HIC.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47205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2D2BD5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3B-1.1. In the box below: (1) "total</w:t>
            </w:r>
            <w:r>
              <w:rPr>
                <w:rFonts w:cstheme="minorHAnsi"/>
                <w:bCs/>
                <w:sz w:val="20"/>
              </w:rPr>
              <w:t xml:space="preserve"> number of Dedicated PLUS Beds" </w:t>
            </w:r>
            <w:r w:rsidRPr="000507B7">
              <w:rPr>
                <w:rFonts w:cstheme="minorHAnsi"/>
                <w:bCs/>
                <w:sz w:val="20"/>
              </w:rPr>
              <w:t>provide the total number of beds in the</w:t>
            </w:r>
            <w:r>
              <w:rPr>
                <w:rFonts w:cstheme="minorHAnsi"/>
                <w:bCs/>
                <w:sz w:val="20"/>
              </w:rPr>
              <w:t xml:space="preserve"> Project Allocation(s) that are </w:t>
            </w:r>
            <w:r w:rsidRPr="000507B7">
              <w:rPr>
                <w:rFonts w:cstheme="minorHAnsi"/>
                <w:bCs/>
                <w:sz w:val="20"/>
              </w:rPr>
              <w:t>designated ad Dedicated PLUS beds; and (2) in the box below "t</w:t>
            </w:r>
            <w:r>
              <w:rPr>
                <w:rFonts w:cstheme="minorHAnsi"/>
                <w:bCs/>
                <w:sz w:val="20"/>
              </w:rPr>
              <w:t xml:space="preserve">otal </w:t>
            </w:r>
            <w:r w:rsidRPr="000507B7">
              <w:rPr>
                <w:rFonts w:cstheme="minorHAnsi"/>
                <w:bCs/>
                <w:sz w:val="20"/>
              </w:rPr>
              <w:t>number of beds dedicated to the chronical</w:t>
            </w:r>
            <w:r>
              <w:rPr>
                <w:rFonts w:cstheme="minorHAnsi"/>
                <w:bCs/>
                <w:sz w:val="20"/>
              </w:rPr>
              <w:t xml:space="preserve">ly homeless:, provide the total </w:t>
            </w:r>
            <w:r w:rsidRPr="000507B7">
              <w:rPr>
                <w:rFonts w:cstheme="minorHAnsi"/>
                <w:bCs/>
                <w:sz w:val="20"/>
              </w:rPr>
              <w:t>number of beds in the Project Application</w:t>
            </w:r>
            <w:r>
              <w:rPr>
                <w:rFonts w:cstheme="minorHAnsi"/>
                <w:bCs/>
                <w:sz w:val="20"/>
              </w:rPr>
              <w:t xml:space="preserve">(s) that are designated for the </w:t>
            </w:r>
            <w:r w:rsidRPr="000507B7">
              <w:rPr>
                <w:rFonts w:cstheme="minorHAnsi"/>
                <w:bCs/>
                <w:sz w:val="20"/>
              </w:rPr>
              <w:t>chronically homeless. This does not includ</w:t>
            </w:r>
            <w:r>
              <w:rPr>
                <w:rFonts w:cstheme="minorHAnsi"/>
                <w:bCs/>
                <w:sz w:val="20"/>
              </w:rPr>
              <w:t xml:space="preserve">e those that were identified in </w:t>
            </w:r>
            <w:r w:rsidRPr="000507B7">
              <w:rPr>
                <w:rFonts w:cstheme="minorHAnsi"/>
                <w:bCs/>
                <w:sz w:val="20"/>
              </w:rPr>
              <w:t>(1) above as Dedicated PLUS Beds.</w:t>
            </w:r>
            <w:r w:rsidRPr="000507B7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32355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2D2BD5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 xml:space="preserve">3B-1.2. </w:t>
            </w:r>
            <w:r>
              <w:rPr>
                <w:rFonts w:cstheme="minorHAnsi"/>
                <w:bCs/>
                <w:sz w:val="20"/>
              </w:rPr>
              <w:t xml:space="preserve">Did the CoC adopt the Orders of </w:t>
            </w:r>
            <w:r w:rsidRPr="000507B7">
              <w:rPr>
                <w:rFonts w:cstheme="minorHAnsi"/>
                <w:bCs/>
                <w:sz w:val="20"/>
              </w:rPr>
              <w:t>Priority i</w:t>
            </w:r>
            <w:r>
              <w:rPr>
                <w:rFonts w:cstheme="minorHAnsi"/>
                <w:bCs/>
                <w:sz w:val="20"/>
              </w:rPr>
              <w:t xml:space="preserve">nto their standards for all CoC </w:t>
            </w:r>
            <w:r w:rsidRPr="000507B7">
              <w:rPr>
                <w:rFonts w:cstheme="minorHAnsi"/>
                <w:bCs/>
                <w:sz w:val="20"/>
              </w:rPr>
              <w:t>Program fund</w:t>
            </w:r>
            <w:r>
              <w:rPr>
                <w:rFonts w:cstheme="minorHAnsi"/>
                <w:bCs/>
                <w:sz w:val="20"/>
              </w:rPr>
              <w:t xml:space="preserve">ed PSH projects as described in </w:t>
            </w:r>
            <w:r w:rsidRPr="000507B7">
              <w:rPr>
                <w:rFonts w:cstheme="minorHAnsi"/>
                <w:bCs/>
                <w:sz w:val="20"/>
              </w:rPr>
              <w:t xml:space="preserve">Notice </w:t>
            </w:r>
            <w:r>
              <w:rPr>
                <w:rFonts w:cstheme="minorHAnsi"/>
                <w:bCs/>
                <w:sz w:val="20"/>
              </w:rPr>
              <w:t xml:space="preserve">CPD-16-11: Prioritizing Persons </w:t>
            </w:r>
            <w:r w:rsidRPr="000507B7">
              <w:rPr>
                <w:rFonts w:cstheme="minorHAnsi"/>
                <w:bCs/>
                <w:sz w:val="20"/>
              </w:rPr>
              <w:t>Experi</w:t>
            </w:r>
            <w:r>
              <w:rPr>
                <w:rFonts w:cstheme="minorHAnsi"/>
                <w:bCs/>
                <w:sz w:val="20"/>
              </w:rPr>
              <w:t xml:space="preserve">encing Chronic Homelessness and </w:t>
            </w:r>
            <w:r w:rsidRPr="000507B7">
              <w:rPr>
                <w:rFonts w:cstheme="minorHAnsi"/>
                <w:bCs/>
                <w:sz w:val="20"/>
              </w:rPr>
              <w:t>Other</w:t>
            </w:r>
            <w:r>
              <w:rPr>
                <w:rFonts w:cstheme="minorHAnsi"/>
                <w:bCs/>
                <w:sz w:val="20"/>
              </w:rPr>
              <w:t xml:space="preserve"> Vulnerable Homeless Persons in </w:t>
            </w:r>
            <w:r w:rsidRPr="000507B7">
              <w:rPr>
                <w:rFonts w:cstheme="minorHAnsi"/>
                <w:bCs/>
                <w:sz w:val="20"/>
              </w:rPr>
              <w:t>Permanent Supportive Housing.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112974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2D2BD5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3B-2.1. Using the following chart, check eac</w:t>
            </w:r>
            <w:r>
              <w:rPr>
                <w:rFonts w:cstheme="minorHAnsi"/>
                <w:bCs/>
                <w:sz w:val="20"/>
              </w:rPr>
              <w:t xml:space="preserve">h box to indicate the factor(s) </w:t>
            </w:r>
            <w:r w:rsidRPr="000507B7">
              <w:rPr>
                <w:rFonts w:cstheme="minorHAnsi"/>
                <w:bCs/>
                <w:sz w:val="20"/>
              </w:rPr>
              <w:t>the CoC currently uses to prioritize ho</w:t>
            </w:r>
            <w:r>
              <w:rPr>
                <w:rFonts w:cstheme="minorHAnsi"/>
                <w:bCs/>
                <w:sz w:val="20"/>
              </w:rPr>
              <w:t xml:space="preserve">useholds with children based on </w:t>
            </w:r>
            <w:r w:rsidRPr="002D2BD5">
              <w:rPr>
                <w:rFonts w:cstheme="minorHAnsi"/>
                <w:bCs/>
                <w:sz w:val="20"/>
              </w:rPr>
              <w:t>need during the FY 2017 Fiscal Year.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145051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 w:themeFill="background1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2D2BD5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3B-2.2. Describe: (1) the CoC</w:t>
            </w:r>
            <w:r>
              <w:rPr>
                <w:rFonts w:cstheme="minorHAnsi"/>
                <w:bCs/>
                <w:sz w:val="20"/>
              </w:rPr>
              <w:t>’</w:t>
            </w:r>
            <w:r w:rsidRPr="000507B7">
              <w:rPr>
                <w:rFonts w:cstheme="minorHAnsi"/>
                <w:bCs/>
                <w:sz w:val="20"/>
              </w:rPr>
              <w:t>s current str</w:t>
            </w:r>
            <w:r>
              <w:rPr>
                <w:rFonts w:cstheme="minorHAnsi"/>
                <w:bCs/>
                <w:sz w:val="20"/>
              </w:rPr>
              <w:t xml:space="preserve">ategy and timeframe for rapidly </w:t>
            </w:r>
            <w:r w:rsidRPr="000507B7">
              <w:rPr>
                <w:rFonts w:cstheme="minorHAnsi"/>
                <w:bCs/>
                <w:sz w:val="20"/>
              </w:rPr>
              <w:t xml:space="preserve">rehousing every household of families </w:t>
            </w:r>
            <w:r>
              <w:rPr>
                <w:rFonts w:cstheme="minorHAnsi"/>
                <w:bCs/>
                <w:sz w:val="20"/>
              </w:rPr>
              <w:t xml:space="preserve">with children within 30 days of </w:t>
            </w:r>
            <w:r w:rsidRPr="000507B7">
              <w:rPr>
                <w:rFonts w:cstheme="minorHAnsi"/>
                <w:bCs/>
                <w:sz w:val="20"/>
              </w:rPr>
              <w:t>becoming homeless; and (2) the organization or position responsible for</w:t>
            </w:r>
            <w:r>
              <w:rPr>
                <w:rFonts w:cstheme="minorHAnsi"/>
                <w:bCs/>
                <w:sz w:val="20"/>
              </w:rPr>
              <w:t xml:space="preserve"> </w:t>
            </w:r>
            <w:r w:rsidRPr="000507B7">
              <w:rPr>
                <w:rFonts w:cstheme="minorHAnsi"/>
                <w:bCs/>
                <w:sz w:val="20"/>
              </w:rPr>
              <w:t>overseeing the CoC’s strategy to rapidly rehouse families with chil</w:t>
            </w:r>
            <w:r>
              <w:rPr>
                <w:rFonts w:cstheme="minorHAnsi"/>
                <w:bCs/>
                <w:sz w:val="20"/>
              </w:rPr>
              <w:t xml:space="preserve">dren </w:t>
            </w:r>
            <w:r w:rsidRPr="000507B7">
              <w:rPr>
                <w:rFonts w:cstheme="minorHAnsi"/>
                <w:bCs/>
                <w:sz w:val="20"/>
              </w:rPr>
              <w:t>withi</w:t>
            </w:r>
            <w:r>
              <w:rPr>
                <w:rFonts w:cstheme="minorHAnsi"/>
                <w:bCs/>
                <w:sz w:val="20"/>
              </w:rPr>
              <w:t xml:space="preserve">n 30 days of becoming homeless. </w:t>
            </w:r>
            <w:r w:rsidRPr="002D2BD5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43664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97346B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3B-2.3. Compare the number of RRH units a</w:t>
            </w:r>
            <w:r>
              <w:rPr>
                <w:rFonts w:cstheme="minorHAnsi"/>
                <w:bCs/>
                <w:sz w:val="20"/>
              </w:rPr>
              <w:t xml:space="preserve">vailable to serve families from </w:t>
            </w:r>
            <w:r w:rsidRPr="000507B7">
              <w:rPr>
                <w:rFonts w:cstheme="minorHAnsi"/>
                <w:bCs/>
                <w:sz w:val="20"/>
              </w:rPr>
              <w:t>the 2016 and 2017 HIC.</w:t>
            </w:r>
          </w:p>
        </w:tc>
        <w:tc>
          <w:tcPr>
            <w:tcW w:w="54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65349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97346B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lastRenderedPageBreak/>
              <w:t>3B-2.4. Describe the actions the Co</w:t>
            </w:r>
            <w:r>
              <w:rPr>
                <w:rFonts w:cstheme="minorHAnsi"/>
                <w:bCs/>
                <w:sz w:val="20"/>
              </w:rPr>
              <w:t xml:space="preserve">C is taking to ensure emergency </w:t>
            </w:r>
            <w:r w:rsidRPr="000507B7">
              <w:rPr>
                <w:rFonts w:cstheme="minorHAnsi"/>
                <w:bCs/>
                <w:sz w:val="20"/>
              </w:rPr>
              <w:t>shelters, transitional housing, and pe</w:t>
            </w:r>
            <w:r>
              <w:rPr>
                <w:rFonts w:cstheme="minorHAnsi"/>
                <w:bCs/>
                <w:sz w:val="20"/>
              </w:rPr>
              <w:t xml:space="preserve">rmanent supportive housing (PSH </w:t>
            </w:r>
            <w:r w:rsidRPr="000507B7">
              <w:rPr>
                <w:rFonts w:cstheme="minorHAnsi"/>
                <w:bCs/>
                <w:sz w:val="20"/>
              </w:rPr>
              <w:t xml:space="preserve">and RRH) providers within the CoC adhere </w:t>
            </w:r>
            <w:r>
              <w:rPr>
                <w:rFonts w:cstheme="minorHAnsi"/>
                <w:bCs/>
                <w:sz w:val="20"/>
              </w:rPr>
              <w:t xml:space="preserve">to anti-discrimination policies </w:t>
            </w:r>
            <w:r w:rsidRPr="000507B7">
              <w:rPr>
                <w:rFonts w:cstheme="minorHAnsi"/>
                <w:bCs/>
                <w:sz w:val="20"/>
              </w:rPr>
              <w:t>by not denying admission to, or sep</w:t>
            </w:r>
            <w:r>
              <w:rPr>
                <w:rFonts w:cstheme="minorHAnsi"/>
                <w:bCs/>
                <w:sz w:val="20"/>
              </w:rPr>
              <w:t xml:space="preserve">arating any family members from </w:t>
            </w:r>
            <w:r w:rsidRPr="000507B7">
              <w:rPr>
                <w:rFonts w:cstheme="minorHAnsi"/>
                <w:bCs/>
                <w:sz w:val="20"/>
              </w:rPr>
              <w:t xml:space="preserve">other members of their family or caregivers based on </w:t>
            </w:r>
            <w:r>
              <w:rPr>
                <w:rFonts w:cstheme="minorHAnsi"/>
                <w:bCs/>
                <w:sz w:val="20"/>
              </w:rPr>
              <w:t xml:space="preserve">age, sex, gender, </w:t>
            </w:r>
            <w:r w:rsidRPr="000507B7">
              <w:rPr>
                <w:rFonts w:cstheme="minorHAnsi"/>
                <w:bCs/>
                <w:sz w:val="20"/>
              </w:rPr>
              <w:t>LGBT status, marital status or disabi</w:t>
            </w:r>
            <w:r>
              <w:rPr>
                <w:rFonts w:cstheme="minorHAnsi"/>
                <w:bCs/>
                <w:sz w:val="20"/>
              </w:rPr>
              <w:t xml:space="preserve">lity when entering a shelter or Housing. </w:t>
            </w:r>
            <w:r w:rsidRPr="000507B7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Youth</w:t>
            </w:r>
          </w:p>
        </w:tc>
        <w:sdt>
          <w:sdtPr>
            <w:rPr>
              <w:rFonts w:cstheme="minorHAnsi"/>
              <w:sz w:val="20"/>
            </w:rPr>
            <w:id w:val="-160094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97346B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3B-2.5. From the list below, select ea</w:t>
            </w:r>
            <w:r>
              <w:rPr>
                <w:rFonts w:cstheme="minorHAnsi"/>
                <w:bCs/>
                <w:sz w:val="20"/>
              </w:rPr>
              <w:t xml:space="preserve">ch of the following the CoC has </w:t>
            </w:r>
            <w:r w:rsidRPr="000507B7">
              <w:rPr>
                <w:rFonts w:cstheme="minorHAnsi"/>
                <w:bCs/>
                <w:sz w:val="20"/>
              </w:rPr>
              <w:t>strategies to address the unique needs of unaccompanied h</w:t>
            </w:r>
            <w:r>
              <w:rPr>
                <w:rFonts w:cstheme="minorHAnsi"/>
                <w:bCs/>
                <w:sz w:val="20"/>
              </w:rPr>
              <w:t xml:space="preserve">omeless </w:t>
            </w:r>
            <w:r w:rsidRPr="0097346B">
              <w:rPr>
                <w:rFonts w:cstheme="minorHAnsi"/>
                <w:bCs/>
                <w:sz w:val="20"/>
              </w:rPr>
              <w:t>youth.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Youth</w:t>
            </w:r>
          </w:p>
        </w:tc>
        <w:sdt>
          <w:sdtPr>
            <w:rPr>
              <w:rFonts w:cstheme="minorHAnsi"/>
              <w:sz w:val="20"/>
            </w:rPr>
            <w:id w:val="166689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 w:themeFill="background1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3B-2.6. From the list below, select each</w:t>
            </w:r>
            <w:r>
              <w:rPr>
                <w:rFonts w:cstheme="minorHAnsi"/>
                <w:bCs/>
                <w:sz w:val="20"/>
              </w:rPr>
              <w:t xml:space="preserve"> of the following the CoC has a </w:t>
            </w:r>
            <w:r w:rsidRPr="000507B7">
              <w:rPr>
                <w:rFonts w:cstheme="minorHAnsi"/>
                <w:bCs/>
                <w:sz w:val="20"/>
              </w:rPr>
              <w:t>strategy for prioritization of unaccompanied youth based on need.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Youth</w:t>
            </w:r>
          </w:p>
        </w:tc>
        <w:sdt>
          <w:sdtPr>
            <w:rPr>
              <w:rFonts w:cstheme="minorHAnsi"/>
              <w:sz w:val="20"/>
            </w:rPr>
            <w:id w:val="38630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 w:themeFill="background1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97346B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3B-2.7. Describe: (1) the strategies used</w:t>
            </w:r>
            <w:r>
              <w:rPr>
                <w:rFonts w:cstheme="minorHAnsi"/>
                <w:bCs/>
                <w:sz w:val="20"/>
              </w:rPr>
              <w:t xml:space="preserve"> by the CoC, including securing </w:t>
            </w:r>
            <w:r w:rsidRPr="000507B7">
              <w:rPr>
                <w:rFonts w:cstheme="minorHAnsi"/>
                <w:bCs/>
                <w:sz w:val="20"/>
              </w:rPr>
              <w:t>additional funding to increase the availabil</w:t>
            </w:r>
            <w:r>
              <w:rPr>
                <w:rFonts w:cstheme="minorHAnsi"/>
                <w:bCs/>
                <w:sz w:val="20"/>
              </w:rPr>
              <w:t xml:space="preserve">ity of housing and services for </w:t>
            </w:r>
            <w:r w:rsidRPr="000507B7">
              <w:rPr>
                <w:rFonts w:cstheme="minorHAnsi"/>
                <w:bCs/>
                <w:sz w:val="20"/>
              </w:rPr>
              <w:t>youth experiencing homelessness</w:t>
            </w:r>
            <w:r>
              <w:rPr>
                <w:rFonts w:cstheme="minorHAnsi"/>
                <w:bCs/>
                <w:sz w:val="20"/>
              </w:rPr>
              <w:t xml:space="preserve">, especially those experiencing </w:t>
            </w:r>
            <w:r w:rsidRPr="000507B7">
              <w:rPr>
                <w:rFonts w:cstheme="minorHAnsi"/>
                <w:bCs/>
                <w:sz w:val="20"/>
              </w:rPr>
              <w:t>unsheltered homelessness; (2) provide ev</w:t>
            </w:r>
            <w:r>
              <w:rPr>
                <w:rFonts w:cstheme="minorHAnsi"/>
                <w:bCs/>
                <w:sz w:val="20"/>
              </w:rPr>
              <w:t xml:space="preserve">idence the strategies that have </w:t>
            </w:r>
            <w:r w:rsidRPr="000507B7">
              <w:rPr>
                <w:rFonts w:cstheme="minorHAnsi"/>
                <w:bCs/>
                <w:sz w:val="20"/>
              </w:rPr>
              <w:t>been implemented are effective at ending youth homelessness;</w:t>
            </w:r>
            <w:r>
              <w:rPr>
                <w:rFonts w:cstheme="minorHAnsi"/>
                <w:bCs/>
                <w:sz w:val="20"/>
              </w:rPr>
              <w:t xml:space="preserve"> (3) the </w:t>
            </w:r>
            <w:r w:rsidRPr="000507B7">
              <w:rPr>
                <w:rFonts w:cstheme="minorHAnsi"/>
                <w:bCs/>
                <w:sz w:val="20"/>
              </w:rPr>
              <w:t>measure(s) the CoC is using to cal</w:t>
            </w:r>
            <w:r>
              <w:rPr>
                <w:rFonts w:cstheme="minorHAnsi"/>
                <w:bCs/>
                <w:sz w:val="20"/>
              </w:rPr>
              <w:t xml:space="preserve">culate the effectiveness of the </w:t>
            </w:r>
            <w:r w:rsidRPr="000507B7">
              <w:rPr>
                <w:rFonts w:cstheme="minorHAnsi"/>
                <w:bCs/>
                <w:sz w:val="20"/>
              </w:rPr>
              <w:t>strategies; and (4) why the CoC bel</w:t>
            </w:r>
            <w:r>
              <w:rPr>
                <w:rFonts w:cstheme="minorHAnsi"/>
                <w:bCs/>
                <w:sz w:val="20"/>
              </w:rPr>
              <w:t xml:space="preserve">ieves the measure(s) used is an </w:t>
            </w:r>
            <w:r w:rsidRPr="000507B7">
              <w:rPr>
                <w:rFonts w:cstheme="minorHAnsi"/>
                <w:bCs/>
                <w:sz w:val="20"/>
              </w:rPr>
              <w:t>appropriate way to determine the effe</w:t>
            </w:r>
            <w:r>
              <w:rPr>
                <w:rFonts w:cstheme="minorHAnsi"/>
                <w:bCs/>
                <w:sz w:val="20"/>
              </w:rPr>
              <w:t xml:space="preserve">ctiveness of the CoC’s efforts. </w:t>
            </w:r>
            <w:r w:rsidRPr="000507B7">
              <w:rPr>
                <w:rFonts w:cstheme="minorHAnsi"/>
                <w:bCs/>
                <w:sz w:val="20"/>
              </w:rPr>
              <w:t>(limit 1500 characters)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Youth</w:t>
            </w:r>
          </w:p>
        </w:tc>
        <w:sdt>
          <w:sdtPr>
            <w:rPr>
              <w:rFonts w:cstheme="minorHAnsi"/>
              <w:sz w:val="20"/>
            </w:rPr>
            <w:id w:val="188267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1322C8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3B-2.8. Describe: (1) How the CoC co</w:t>
            </w:r>
            <w:r>
              <w:rPr>
                <w:rFonts w:cstheme="minorHAnsi"/>
                <w:bCs/>
                <w:sz w:val="20"/>
              </w:rPr>
              <w:t xml:space="preserve">llaborates with youth education </w:t>
            </w:r>
            <w:r w:rsidRPr="000507B7">
              <w:rPr>
                <w:rFonts w:cstheme="minorHAnsi"/>
                <w:bCs/>
                <w:sz w:val="20"/>
              </w:rPr>
              <w:t>providers, including McKinney-Vento lo</w:t>
            </w:r>
            <w:r>
              <w:rPr>
                <w:rFonts w:cstheme="minorHAnsi"/>
                <w:bCs/>
                <w:sz w:val="20"/>
              </w:rPr>
              <w:t xml:space="preserve">cal educational authorities and </w:t>
            </w:r>
            <w:r w:rsidRPr="000507B7">
              <w:rPr>
                <w:rFonts w:cstheme="minorHAnsi"/>
                <w:bCs/>
                <w:sz w:val="20"/>
              </w:rPr>
              <w:t>school districts; (2) the formal part</w:t>
            </w:r>
            <w:r>
              <w:rPr>
                <w:rFonts w:cstheme="minorHAnsi"/>
                <w:bCs/>
                <w:sz w:val="20"/>
              </w:rPr>
              <w:t xml:space="preserve">nerships the CoC has with these </w:t>
            </w:r>
            <w:r w:rsidRPr="000507B7">
              <w:rPr>
                <w:rFonts w:cstheme="minorHAnsi"/>
                <w:bCs/>
                <w:sz w:val="20"/>
              </w:rPr>
              <w:t>entities; and (3) the policies and procedures, if any, that h</w:t>
            </w:r>
            <w:r>
              <w:rPr>
                <w:rFonts w:cstheme="minorHAnsi"/>
                <w:bCs/>
                <w:sz w:val="20"/>
              </w:rPr>
              <w:t xml:space="preserve">ave been </w:t>
            </w:r>
            <w:r w:rsidRPr="000507B7">
              <w:rPr>
                <w:rFonts w:cstheme="minorHAnsi"/>
                <w:bCs/>
                <w:sz w:val="20"/>
              </w:rPr>
              <w:t>adopted to inform individuals and famili</w:t>
            </w:r>
            <w:r>
              <w:rPr>
                <w:rFonts w:cstheme="minorHAnsi"/>
                <w:bCs/>
                <w:sz w:val="20"/>
              </w:rPr>
              <w:t xml:space="preserve">es who become homeless of their </w:t>
            </w:r>
            <w:r w:rsidRPr="000507B7">
              <w:rPr>
                <w:rFonts w:cstheme="minorHAnsi"/>
                <w:bCs/>
                <w:sz w:val="20"/>
              </w:rPr>
              <w:t>eligib</w:t>
            </w:r>
            <w:r>
              <w:rPr>
                <w:rFonts w:cstheme="minorHAnsi"/>
                <w:bCs/>
                <w:sz w:val="20"/>
              </w:rPr>
              <w:t xml:space="preserve">ility for educational services. </w:t>
            </w:r>
            <w:r w:rsidRPr="000507B7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Youth</w:t>
            </w:r>
          </w:p>
        </w:tc>
        <w:sdt>
          <w:sdtPr>
            <w:rPr>
              <w:rFonts w:cstheme="minorHAnsi"/>
              <w:sz w:val="20"/>
            </w:rPr>
            <w:id w:val="4057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97346B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3B-2.9. Does the CoC have any written formal agreements, MOU/MOAs or</w:t>
            </w:r>
            <w:r>
              <w:rPr>
                <w:rFonts w:cstheme="minorHAnsi"/>
                <w:bCs/>
                <w:sz w:val="20"/>
              </w:rPr>
              <w:t xml:space="preserve"> </w:t>
            </w:r>
            <w:r w:rsidRPr="000507B7">
              <w:rPr>
                <w:rFonts w:cstheme="minorHAnsi"/>
                <w:bCs/>
                <w:sz w:val="20"/>
              </w:rPr>
              <w:t xml:space="preserve">partnerships with one or more providers </w:t>
            </w:r>
            <w:r>
              <w:rPr>
                <w:rFonts w:cstheme="minorHAnsi"/>
                <w:bCs/>
                <w:sz w:val="20"/>
              </w:rPr>
              <w:t>of early childhood services &amp; supports? Select “</w:t>
            </w:r>
            <w:proofErr w:type="spellStart"/>
            <w:r>
              <w:rPr>
                <w:rFonts w:cstheme="minorHAnsi"/>
                <w:bCs/>
                <w:sz w:val="20"/>
              </w:rPr>
              <w:t>Yes”or</w:t>
            </w:r>
            <w:r w:rsidRPr="000507B7">
              <w:rPr>
                <w:rFonts w:cstheme="minorHAnsi"/>
                <w:bCs/>
                <w:sz w:val="20"/>
              </w:rPr>
              <w:t>“No</w:t>
            </w:r>
            <w:proofErr w:type="spellEnd"/>
            <w:r w:rsidRPr="000507B7">
              <w:rPr>
                <w:rFonts w:cstheme="minorHAnsi"/>
                <w:bCs/>
                <w:sz w:val="20"/>
              </w:rPr>
              <w:t>”.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Youth</w:t>
            </w:r>
          </w:p>
        </w:tc>
        <w:sdt>
          <w:sdtPr>
            <w:rPr>
              <w:rFonts w:cstheme="minorHAnsi"/>
              <w:sz w:val="20"/>
            </w:rPr>
            <w:id w:val="-171063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1322C8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3B-3.1. Provide the actions the CoC has taken</w:t>
            </w:r>
            <w:r>
              <w:rPr>
                <w:rFonts w:cstheme="minorHAnsi"/>
                <w:bCs/>
                <w:sz w:val="20"/>
              </w:rPr>
              <w:t xml:space="preserve"> to identify, assess, and refer </w:t>
            </w:r>
            <w:r w:rsidRPr="000507B7">
              <w:rPr>
                <w:rFonts w:cstheme="minorHAnsi"/>
                <w:bCs/>
                <w:sz w:val="20"/>
              </w:rPr>
              <w:t>homeless Veterans who are eligible fo</w:t>
            </w:r>
            <w:r>
              <w:rPr>
                <w:rFonts w:cstheme="minorHAnsi"/>
                <w:bCs/>
                <w:sz w:val="20"/>
              </w:rPr>
              <w:t xml:space="preserve">r Veterans Affairs services and </w:t>
            </w:r>
            <w:r w:rsidRPr="000507B7">
              <w:rPr>
                <w:rFonts w:cstheme="minorHAnsi"/>
                <w:bCs/>
                <w:sz w:val="20"/>
              </w:rPr>
              <w:t xml:space="preserve">housing to appropriate resources </w:t>
            </w:r>
            <w:r>
              <w:rPr>
                <w:rFonts w:cstheme="minorHAnsi"/>
                <w:bCs/>
                <w:sz w:val="20"/>
              </w:rPr>
              <w:t xml:space="preserve">such as HUD-VASH and Supportive Services for </w:t>
            </w:r>
            <w:r w:rsidRPr="000507B7">
              <w:rPr>
                <w:rFonts w:cstheme="minorHAnsi"/>
                <w:bCs/>
                <w:sz w:val="20"/>
              </w:rPr>
              <w:t>Veterans Families (SSVF)</w:t>
            </w:r>
            <w:r>
              <w:rPr>
                <w:rFonts w:cstheme="minorHAnsi"/>
                <w:bCs/>
                <w:sz w:val="20"/>
              </w:rPr>
              <w:t xml:space="preserve"> program and Grant and Per Diem (GPD). </w:t>
            </w:r>
            <w:r w:rsidRPr="000507B7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Vets</w:t>
            </w:r>
          </w:p>
        </w:tc>
        <w:sdt>
          <w:sdtPr>
            <w:rPr>
              <w:rFonts w:cstheme="minorHAnsi"/>
              <w:sz w:val="20"/>
            </w:rPr>
            <w:id w:val="211725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97346B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3B-3.2. Does t</w:t>
            </w:r>
            <w:r>
              <w:rPr>
                <w:rFonts w:cstheme="minorHAnsi"/>
                <w:bCs/>
                <w:sz w:val="20"/>
              </w:rPr>
              <w:t xml:space="preserve">he CoC use an active list or by </w:t>
            </w:r>
            <w:r w:rsidRPr="000507B7">
              <w:rPr>
                <w:rFonts w:cstheme="minorHAnsi"/>
                <w:bCs/>
                <w:sz w:val="20"/>
              </w:rPr>
              <w:t>name list to ide</w:t>
            </w:r>
            <w:r>
              <w:rPr>
                <w:rFonts w:cstheme="minorHAnsi"/>
                <w:bCs/>
                <w:sz w:val="20"/>
              </w:rPr>
              <w:t xml:space="preserve">ntify all Veterans experiencing </w:t>
            </w:r>
            <w:r w:rsidRPr="000507B7">
              <w:rPr>
                <w:rFonts w:cstheme="minorHAnsi"/>
                <w:bCs/>
                <w:sz w:val="20"/>
              </w:rPr>
              <w:t>homelessness in the CoC?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Vets</w:t>
            </w:r>
          </w:p>
        </w:tc>
        <w:sdt>
          <w:sdtPr>
            <w:rPr>
              <w:rFonts w:cstheme="minorHAnsi"/>
              <w:sz w:val="20"/>
            </w:rPr>
            <w:id w:val="-13695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97346B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3B-3.3. Is th</w:t>
            </w:r>
            <w:r>
              <w:rPr>
                <w:rFonts w:cstheme="minorHAnsi"/>
                <w:bCs/>
                <w:sz w:val="20"/>
              </w:rPr>
              <w:t xml:space="preserve">e CoC actively working with the </w:t>
            </w:r>
            <w:r w:rsidRPr="000507B7">
              <w:rPr>
                <w:rFonts w:cstheme="minorHAnsi"/>
                <w:bCs/>
                <w:sz w:val="20"/>
              </w:rPr>
              <w:t>VA and VA</w:t>
            </w:r>
            <w:r>
              <w:rPr>
                <w:rFonts w:cstheme="minorHAnsi"/>
                <w:bCs/>
                <w:sz w:val="20"/>
              </w:rPr>
              <w:t xml:space="preserve">-funded programs to achieve the </w:t>
            </w:r>
            <w:r w:rsidRPr="000507B7">
              <w:rPr>
                <w:rFonts w:cstheme="minorHAnsi"/>
                <w:bCs/>
                <w:sz w:val="20"/>
              </w:rPr>
              <w:t xml:space="preserve">benchmarks </w:t>
            </w:r>
            <w:r>
              <w:rPr>
                <w:rFonts w:cstheme="minorHAnsi"/>
                <w:bCs/>
                <w:sz w:val="20"/>
              </w:rPr>
              <w:t xml:space="preserve">and criteria for ending Veteran </w:t>
            </w:r>
            <w:r w:rsidRPr="000507B7">
              <w:rPr>
                <w:rFonts w:cstheme="minorHAnsi"/>
                <w:bCs/>
                <w:sz w:val="20"/>
              </w:rPr>
              <w:t>homelessness?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Vets</w:t>
            </w:r>
          </w:p>
        </w:tc>
        <w:sdt>
          <w:sdtPr>
            <w:rPr>
              <w:rFonts w:cstheme="minorHAnsi"/>
              <w:sz w:val="20"/>
            </w:rPr>
            <w:id w:val="-131941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97346B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3B-3.</w:t>
            </w:r>
            <w:r>
              <w:rPr>
                <w:rFonts w:cstheme="minorHAnsi"/>
                <w:bCs/>
                <w:sz w:val="20"/>
              </w:rPr>
              <w:t xml:space="preserve">4. Does the CoC have sufficient </w:t>
            </w:r>
            <w:r w:rsidRPr="000507B7">
              <w:rPr>
                <w:rFonts w:cstheme="minorHAnsi"/>
                <w:bCs/>
                <w:sz w:val="20"/>
              </w:rPr>
              <w:t xml:space="preserve">resources to </w:t>
            </w:r>
            <w:r>
              <w:rPr>
                <w:rFonts w:cstheme="minorHAnsi"/>
                <w:bCs/>
                <w:sz w:val="20"/>
              </w:rPr>
              <w:t xml:space="preserve">ensure each Veteran is assisted </w:t>
            </w:r>
            <w:r w:rsidRPr="000507B7">
              <w:rPr>
                <w:rFonts w:cstheme="minorHAnsi"/>
                <w:bCs/>
                <w:sz w:val="20"/>
              </w:rPr>
              <w:t>to quick</w:t>
            </w:r>
            <w:r>
              <w:rPr>
                <w:rFonts w:cstheme="minorHAnsi"/>
                <w:bCs/>
                <w:sz w:val="20"/>
              </w:rPr>
              <w:t xml:space="preserve">ly move to permanent housing using a Housing First </w:t>
            </w:r>
            <w:r w:rsidRPr="000507B7">
              <w:rPr>
                <w:rFonts w:cstheme="minorHAnsi"/>
                <w:bCs/>
                <w:sz w:val="20"/>
              </w:rPr>
              <w:t>approach?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Vets</w:t>
            </w:r>
          </w:p>
        </w:tc>
        <w:sdt>
          <w:sdtPr>
            <w:rPr>
              <w:rFonts w:cstheme="minorHAnsi"/>
              <w:sz w:val="20"/>
            </w:rPr>
            <w:id w:val="119003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  <w:shd w:val="clear" w:color="auto" w:fill="B2A1C7" w:themeFill="accent4" w:themeFillTint="99"/>
          </w:tcPr>
          <w:p w:rsidR="001322C8" w:rsidRPr="0097346B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4A. Co</w:t>
            </w:r>
            <w:r>
              <w:rPr>
                <w:rFonts w:cstheme="minorHAnsi"/>
                <w:bCs/>
                <w:sz w:val="20"/>
              </w:rPr>
              <w:t xml:space="preserve">ntinuum of Care (CoC) Accessing </w:t>
            </w:r>
            <w:r w:rsidRPr="0097346B">
              <w:rPr>
                <w:rFonts w:cstheme="minorHAnsi"/>
                <w:bCs/>
                <w:sz w:val="20"/>
              </w:rPr>
              <w:t>Mainstream Benefits and Additional Policies</w:t>
            </w:r>
          </w:p>
        </w:tc>
        <w:tc>
          <w:tcPr>
            <w:tcW w:w="54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CA</w:t>
            </w:r>
          </w:p>
        </w:tc>
        <w:tc>
          <w:tcPr>
            <w:tcW w:w="117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Consultants</w:t>
            </w:r>
          </w:p>
        </w:tc>
        <w:tc>
          <w:tcPr>
            <w:tcW w:w="63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CoC</w:t>
            </w:r>
          </w:p>
        </w:tc>
        <w:tc>
          <w:tcPr>
            <w:tcW w:w="1080" w:type="dxa"/>
            <w:shd w:val="clear" w:color="auto" w:fill="B2A1C7" w:themeFill="accent4" w:themeFillTint="99"/>
          </w:tcPr>
          <w:p w:rsidR="001322C8" w:rsidRPr="00DD7365" w:rsidRDefault="001322C8" w:rsidP="001322C8">
            <w:pPr>
              <w:jc w:val="center"/>
              <w:rPr>
                <w:rFonts w:cstheme="minorHAnsi"/>
                <w:b/>
                <w:sz w:val="18"/>
              </w:rPr>
            </w:pPr>
            <w:r w:rsidRPr="00DD7365">
              <w:rPr>
                <w:rFonts w:cstheme="minorHAnsi"/>
                <w:b/>
                <w:sz w:val="18"/>
              </w:rPr>
              <w:t>Committee</w:t>
            </w:r>
          </w:p>
        </w:tc>
        <w:tc>
          <w:tcPr>
            <w:tcW w:w="360" w:type="dxa"/>
            <w:shd w:val="clear" w:color="auto" w:fill="B2A1C7" w:themeFill="accent4" w:themeFillTint="99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322C8" w:rsidRPr="000507B7" w:rsidTr="00DD7365">
        <w:tc>
          <w:tcPr>
            <w:tcW w:w="7357" w:type="dxa"/>
          </w:tcPr>
          <w:p w:rsidR="001322C8" w:rsidRPr="0097346B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 xml:space="preserve">4A-1. Select from the drop-down (1) each </w:t>
            </w:r>
            <w:r>
              <w:rPr>
                <w:rFonts w:cstheme="minorHAnsi"/>
                <w:bCs/>
                <w:sz w:val="20"/>
              </w:rPr>
              <w:t xml:space="preserve">type of healthcare organization </w:t>
            </w:r>
            <w:r w:rsidRPr="000507B7">
              <w:rPr>
                <w:rFonts w:cstheme="minorHAnsi"/>
                <w:bCs/>
                <w:sz w:val="20"/>
              </w:rPr>
              <w:t>the CoC assists program participants with</w:t>
            </w:r>
            <w:r>
              <w:rPr>
                <w:rFonts w:cstheme="minorHAnsi"/>
                <w:bCs/>
                <w:sz w:val="20"/>
              </w:rPr>
              <w:t xml:space="preserve"> enrolling in health insurance, &amp;</w:t>
            </w:r>
            <w:r w:rsidRPr="000507B7">
              <w:rPr>
                <w:rFonts w:cstheme="minorHAnsi"/>
                <w:bCs/>
                <w:sz w:val="20"/>
              </w:rPr>
              <w:t xml:space="preserve"> (2) if the CoC provides assistance wi</w:t>
            </w:r>
            <w:r>
              <w:rPr>
                <w:rFonts w:cstheme="minorHAnsi"/>
                <w:bCs/>
                <w:sz w:val="20"/>
              </w:rPr>
              <w:t>th effective utilization of Medicaid &amp;</w:t>
            </w:r>
            <w:r w:rsidRPr="000507B7">
              <w:rPr>
                <w:rFonts w:cstheme="minorHAnsi"/>
                <w:bCs/>
                <w:sz w:val="20"/>
              </w:rPr>
              <w:t xml:space="preserve"> other benefits.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138710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4A-1a. Mainstream Benefits</w:t>
            </w:r>
          </w:p>
          <w:p w:rsidR="001322C8" w:rsidRPr="001322C8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CoC program funded projects m</w:t>
            </w:r>
            <w:r>
              <w:rPr>
                <w:rFonts w:cstheme="minorHAnsi"/>
                <w:bCs/>
                <w:sz w:val="20"/>
              </w:rPr>
              <w:t xml:space="preserve">ust be able to demonstrate they </w:t>
            </w:r>
            <w:r w:rsidRPr="000507B7">
              <w:rPr>
                <w:rFonts w:cstheme="minorHAnsi"/>
                <w:bCs/>
                <w:sz w:val="20"/>
              </w:rPr>
              <w:t>supplement CoC Program funds from othe</w:t>
            </w:r>
            <w:r>
              <w:rPr>
                <w:rFonts w:cstheme="minorHAnsi"/>
                <w:bCs/>
                <w:sz w:val="20"/>
              </w:rPr>
              <w:t xml:space="preserve">r public and private resources, </w:t>
            </w:r>
            <w:r w:rsidRPr="000507B7">
              <w:rPr>
                <w:rFonts w:cstheme="minorHAnsi"/>
                <w:bCs/>
                <w:sz w:val="20"/>
              </w:rPr>
              <w:t xml:space="preserve">including: (1) how the CoC works with </w:t>
            </w:r>
            <w:r>
              <w:rPr>
                <w:rFonts w:cstheme="minorHAnsi"/>
                <w:bCs/>
                <w:sz w:val="20"/>
              </w:rPr>
              <w:t xml:space="preserve">mainstream programs that assist </w:t>
            </w:r>
            <w:r w:rsidRPr="000507B7">
              <w:rPr>
                <w:rFonts w:cstheme="minorHAnsi"/>
                <w:bCs/>
                <w:sz w:val="20"/>
              </w:rPr>
              <w:t>homeless program participants in applyi</w:t>
            </w:r>
            <w:r>
              <w:rPr>
                <w:rFonts w:cstheme="minorHAnsi"/>
                <w:bCs/>
                <w:sz w:val="20"/>
              </w:rPr>
              <w:t xml:space="preserve">ng for and receiving mainstream </w:t>
            </w:r>
            <w:r w:rsidRPr="000507B7">
              <w:rPr>
                <w:rFonts w:cstheme="minorHAnsi"/>
                <w:bCs/>
                <w:sz w:val="20"/>
              </w:rPr>
              <w:t>benefits; (2) how the CoC systematically keeps prog</w:t>
            </w:r>
            <w:r>
              <w:rPr>
                <w:rFonts w:cstheme="minorHAnsi"/>
                <w:bCs/>
                <w:sz w:val="20"/>
              </w:rPr>
              <w:t xml:space="preserve">ram staff up-to-date </w:t>
            </w:r>
            <w:r w:rsidRPr="000507B7">
              <w:rPr>
                <w:rFonts w:cstheme="minorHAnsi"/>
                <w:bCs/>
                <w:sz w:val="20"/>
              </w:rPr>
              <w:t>regarding mainstream resources</w:t>
            </w:r>
            <w:r>
              <w:rPr>
                <w:rFonts w:cstheme="minorHAnsi"/>
                <w:bCs/>
                <w:sz w:val="20"/>
              </w:rPr>
              <w:t xml:space="preserve"> available for homeless program </w:t>
            </w:r>
            <w:r w:rsidRPr="000507B7">
              <w:rPr>
                <w:rFonts w:cstheme="minorHAnsi"/>
                <w:bCs/>
                <w:sz w:val="20"/>
              </w:rPr>
              <w:t>participants (e.g. Food Stamps, SSI, T</w:t>
            </w:r>
            <w:r>
              <w:rPr>
                <w:rFonts w:cstheme="minorHAnsi"/>
                <w:bCs/>
                <w:sz w:val="20"/>
              </w:rPr>
              <w:t xml:space="preserve">ANF, substance abuse programs); </w:t>
            </w:r>
            <w:r w:rsidRPr="000507B7">
              <w:rPr>
                <w:rFonts w:cstheme="minorHAnsi"/>
                <w:bCs/>
                <w:sz w:val="20"/>
              </w:rPr>
              <w:t>and (3) identify the organization or p</w:t>
            </w:r>
            <w:r>
              <w:rPr>
                <w:rFonts w:cstheme="minorHAnsi"/>
                <w:bCs/>
                <w:sz w:val="20"/>
              </w:rPr>
              <w:t xml:space="preserve">osition that is responsible for </w:t>
            </w:r>
            <w:r w:rsidRPr="000507B7">
              <w:rPr>
                <w:rFonts w:cstheme="minorHAnsi"/>
                <w:bCs/>
                <w:sz w:val="20"/>
              </w:rPr>
              <w:t>overseeing the CoC</w:t>
            </w:r>
            <w:r>
              <w:rPr>
                <w:rFonts w:cstheme="minorHAnsi"/>
                <w:bCs/>
                <w:sz w:val="20"/>
              </w:rPr>
              <w:t>’</w:t>
            </w:r>
            <w:r w:rsidRPr="000507B7">
              <w:rPr>
                <w:rFonts w:cstheme="minorHAnsi"/>
                <w:bCs/>
                <w:sz w:val="20"/>
              </w:rPr>
              <w:t>s strategy for m</w:t>
            </w:r>
            <w:r>
              <w:rPr>
                <w:rFonts w:cstheme="minorHAnsi"/>
                <w:bCs/>
                <w:sz w:val="20"/>
              </w:rPr>
              <w:t xml:space="preserve">ainstream benefits. </w:t>
            </w:r>
            <w:r w:rsidRPr="000507B7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3C261A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Resource</w:t>
            </w:r>
          </w:p>
        </w:tc>
        <w:sdt>
          <w:sdtPr>
            <w:rPr>
              <w:rFonts w:cstheme="minorHAnsi"/>
              <w:sz w:val="20"/>
            </w:rPr>
            <w:id w:val="-131648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97346B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4A-2. Low Barrier: Based on the CoC</w:t>
            </w:r>
            <w:r>
              <w:rPr>
                <w:rFonts w:cstheme="minorHAnsi"/>
                <w:bCs/>
                <w:sz w:val="20"/>
              </w:rPr>
              <w:t>’</w:t>
            </w:r>
            <w:r w:rsidRPr="000507B7">
              <w:rPr>
                <w:rFonts w:cstheme="minorHAnsi"/>
                <w:bCs/>
                <w:sz w:val="20"/>
              </w:rPr>
              <w:t xml:space="preserve">s </w:t>
            </w:r>
            <w:r>
              <w:rPr>
                <w:rFonts w:cstheme="minorHAnsi"/>
                <w:bCs/>
                <w:sz w:val="20"/>
              </w:rPr>
              <w:t xml:space="preserve">FY 2017 new and renewal project </w:t>
            </w:r>
            <w:r w:rsidRPr="000507B7">
              <w:rPr>
                <w:rFonts w:cstheme="minorHAnsi"/>
                <w:bCs/>
                <w:sz w:val="20"/>
              </w:rPr>
              <w:t>applications, what percentage of Pe</w:t>
            </w:r>
            <w:r>
              <w:rPr>
                <w:rFonts w:cstheme="minorHAnsi"/>
                <w:bCs/>
                <w:sz w:val="20"/>
              </w:rPr>
              <w:t xml:space="preserve">rmanent Housing (PSH) &amp; Rapid </w:t>
            </w:r>
            <w:r w:rsidRPr="000507B7">
              <w:rPr>
                <w:rFonts w:cstheme="minorHAnsi"/>
                <w:bCs/>
                <w:sz w:val="20"/>
              </w:rPr>
              <w:t>Rehousing (RRH), Transitional Ho</w:t>
            </w:r>
            <w:r>
              <w:rPr>
                <w:rFonts w:cstheme="minorHAnsi"/>
                <w:bCs/>
                <w:sz w:val="20"/>
              </w:rPr>
              <w:t xml:space="preserve">using (TH), Safe-Haven, and SSO </w:t>
            </w:r>
            <w:r w:rsidRPr="000507B7">
              <w:rPr>
                <w:rFonts w:cstheme="minorHAnsi"/>
                <w:bCs/>
                <w:sz w:val="20"/>
              </w:rPr>
              <w:t>(Supportive Services Only-non-coordinated</w:t>
            </w:r>
            <w:r>
              <w:rPr>
                <w:rFonts w:cstheme="minorHAnsi"/>
                <w:bCs/>
                <w:sz w:val="20"/>
              </w:rPr>
              <w:t xml:space="preserve"> entry) projects in the CoC are </w:t>
            </w:r>
            <w:r w:rsidRPr="000507B7">
              <w:rPr>
                <w:rFonts w:cstheme="minorHAnsi"/>
                <w:bCs/>
                <w:sz w:val="20"/>
              </w:rPr>
              <w:t>low-barrier?</w:t>
            </w:r>
          </w:p>
        </w:tc>
        <w:tc>
          <w:tcPr>
            <w:tcW w:w="540" w:type="dxa"/>
          </w:tcPr>
          <w:p w:rsidR="001322C8" w:rsidRPr="000507B7" w:rsidRDefault="00C846E1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C846E1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C846E1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Project</w:t>
            </w:r>
          </w:p>
        </w:tc>
        <w:sdt>
          <w:sdtPr>
            <w:rPr>
              <w:rFonts w:cstheme="minorHAnsi"/>
              <w:sz w:val="20"/>
            </w:rPr>
            <w:id w:val="92707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 w:themeFill="background1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97346B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lastRenderedPageBreak/>
              <w:t xml:space="preserve">4A-3. Housing First: What percentage </w:t>
            </w:r>
            <w:r>
              <w:rPr>
                <w:rFonts w:cstheme="minorHAnsi"/>
                <w:bCs/>
                <w:sz w:val="20"/>
              </w:rPr>
              <w:t xml:space="preserve">of CoC Program Funded PSH, RRH, </w:t>
            </w:r>
            <w:r w:rsidRPr="000507B7">
              <w:rPr>
                <w:rFonts w:cstheme="minorHAnsi"/>
                <w:bCs/>
                <w:sz w:val="20"/>
              </w:rPr>
              <w:t>SSO (non-coordinated entry), safe-hav</w:t>
            </w:r>
            <w:r>
              <w:rPr>
                <w:rFonts w:cstheme="minorHAnsi"/>
                <w:bCs/>
                <w:sz w:val="20"/>
              </w:rPr>
              <w:t xml:space="preserve">en and Transitional Housing; FY </w:t>
            </w:r>
            <w:r w:rsidRPr="000507B7">
              <w:rPr>
                <w:rFonts w:cstheme="minorHAnsi"/>
                <w:bCs/>
                <w:sz w:val="20"/>
              </w:rPr>
              <w:t>2017 projects have adopted the Housing F</w:t>
            </w:r>
            <w:r>
              <w:rPr>
                <w:rFonts w:cstheme="minorHAnsi"/>
                <w:bCs/>
                <w:sz w:val="20"/>
              </w:rPr>
              <w:t xml:space="preserve">irst approach, meaning that the </w:t>
            </w:r>
            <w:r w:rsidRPr="000507B7">
              <w:rPr>
                <w:rFonts w:cstheme="minorHAnsi"/>
                <w:bCs/>
                <w:sz w:val="20"/>
              </w:rPr>
              <w:t>project quickly houses clients w</w:t>
            </w:r>
            <w:r>
              <w:rPr>
                <w:rFonts w:cstheme="minorHAnsi"/>
                <w:bCs/>
                <w:sz w:val="20"/>
              </w:rPr>
              <w:t xml:space="preserve">ithout preconditions or service participation </w:t>
            </w:r>
            <w:r w:rsidRPr="000507B7">
              <w:rPr>
                <w:rFonts w:cstheme="minorHAnsi"/>
                <w:bCs/>
                <w:sz w:val="20"/>
              </w:rPr>
              <w:t>requirements?</w:t>
            </w:r>
          </w:p>
        </w:tc>
        <w:tc>
          <w:tcPr>
            <w:tcW w:w="540" w:type="dxa"/>
          </w:tcPr>
          <w:p w:rsidR="001322C8" w:rsidRPr="000507B7" w:rsidRDefault="00C846E1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C846E1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C846E1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Project</w:t>
            </w:r>
          </w:p>
        </w:tc>
        <w:sdt>
          <w:sdtPr>
            <w:rPr>
              <w:rFonts w:cstheme="minorHAnsi"/>
              <w:sz w:val="20"/>
            </w:rPr>
            <w:id w:val="904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4A-4. Street Outreach: Describe (1) the CoC'</w:t>
            </w:r>
            <w:r>
              <w:rPr>
                <w:rFonts w:cstheme="minorHAnsi"/>
                <w:bCs/>
                <w:sz w:val="20"/>
              </w:rPr>
              <w:t xml:space="preserve">s outreach and if it covers 100 </w:t>
            </w:r>
            <w:r w:rsidRPr="000507B7">
              <w:rPr>
                <w:rFonts w:cstheme="minorHAnsi"/>
                <w:bCs/>
                <w:sz w:val="20"/>
              </w:rPr>
              <w:t>percent of the CoC's geographic area; (</w:t>
            </w:r>
            <w:r>
              <w:rPr>
                <w:rFonts w:cstheme="minorHAnsi"/>
                <w:bCs/>
                <w:sz w:val="20"/>
              </w:rPr>
              <w:t xml:space="preserve">2) how often street outreach is </w:t>
            </w:r>
            <w:r w:rsidRPr="000507B7">
              <w:rPr>
                <w:rFonts w:cstheme="minorHAnsi"/>
                <w:bCs/>
                <w:sz w:val="20"/>
              </w:rPr>
              <w:t>conducted; and (3) how the CoC has tailor</w:t>
            </w:r>
            <w:r>
              <w:rPr>
                <w:rFonts w:cstheme="minorHAnsi"/>
                <w:bCs/>
                <w:sz w:val="20"/>
              </w:rPr>
              <w:t xml:space="preserve">ed its street outreach to those </w:t>
            </w:r>
            <w:r w:rsidRPr="000507B7">
              <w:rPr>
                <w:rFonts w:cstheme="minorHAnsi"/>
                <w:bCs/>
                <w:sz w:val="20"/>
              </w:rPr>
              <w:t>that are leas</w:t>
            </w:r>
            <w:r>
              <w:rPr>
                <w:rFonts w:cstheme="minorHAnsi"/>
                <w:bCs/>
                <w:sz w:val="20"/>
              </w:rPr>
              <w:t xml:space="preserve">t likely to request assistance. </w:t>
            </w:r>
            <w:r w:rsidRPr="000507B7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C846E1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C846E1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Resource</w:t>
            </w:r>
          </w:p>
        </w:tc>
        <w:sdt>
          <w:sdtPr>
            <w:rPr>
              <w:rFonts w:cstheme="minorHAnsi"/>
              <w:sz w:val="20"/>
            </w:rPr>
            <w:id w:val="-203818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4A-5. Affirmative Outreach</w:t>
            </w:r>
          </w:p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Specific strategies the CoC has implemente</w:t>
            </w:r>
            <w:r>
              <w:rPr>
                <w:rFonts w:cstheme="minorHAnsi"/>
                <w:bCs/>
                <w:sz w:val="20"/>
              </w:rPr>
              <w:t xml:space="preserve">d that furthers fair housing as </w:t>
            </w:r>
            <w:r w:rsidRPr="000507B7">
              <w:rPr>
                <w:rFonts w:cstheme="minorHAnsi"/>
                <w:bCs/>
                <w:sz w:val="20"/>
              </w:rPr>
              <w:t>detailed in 24 CFR 578.93(c) used t</w:t>
            </w:r>
            <w:r>
              <w:rPr>
                <w:rFonts w:cstheme="minorHAnsi"/>
                <w:bCs/>
                <w:sz w:val="20"/>
              </w:rPr>
              <w:t xml:space="preserve">o market housing and supportive </w:t>
            </w:r>
            <w:r w:rsidRPr="000507B7">
              <w:rPr>
                <w:rFonts w:cstheme="minorHAnsi"/>
                <w:bCs/>
                <w:sz w:val="20"/>
              </w:rPr>
              <w:t>services to eligible persons regardless o</w:t>
            </w:r>
            <w:r>
              <w:rPr>
                <w:rFonts w:cstheme="minorHAnsi"/>
                <w:bCs/>
                <w:sz w:val="20"/>
              </w:rPr>
              <w:t xml:space="preserve">f race, color, national origin, </w:t>
            </w:r>
            <w:r w:rsidRPr="000507B7">
              <w:rPr>
                <w:rFonts w:cstheme="minorHAnsi"/>
                <w:bCs/>
                <w:sz w:val="20"/>
              </w:rPr>
              <w:t>religion, sex, gender identify, sexual orient</w:t>
            </w:r>
            <w:r>
              <w:rPr>
                <w:rFonts w:cstheme="minorHAnsi"/>
                <w:bCs/>
                <w:sz w:val="20"/>
              </w:rPr>
              <w:t xml:space="preserve">ation, age, familial status, or </w:t>
            </w:r>
            <w:r w:rsidRPr="000507B7">
              <w:rPr>
                <w:rFonts w:cstheme="minorHAnsi"/>
                <w:bCs/>
                <w:sz w:val="20"/>
              </w:rPr>
              <w:t>disability; who are least likely to apply in t</w:t>
            </w:r>
            <w:r>
              <w:rPr>
                <w:rFonts w:cstheme="minorHAnsi"/>
                <w:bCs/>
                <w:sz w:val="20"/>
              </w:rPr>
              <w:t xml:space="preserve">he absence of special outreach. </w:t>
            </w:r>
            <w:r w:rsidRPr="000507B7">
              <w:rPr>
                <w:rFonts w:cstheme="minorHAnsi"/>
                <w:bCs/>
                <w:sz w:val="20"/>
              </w:rPr>
              <w:t xml:space="preserve">Describe: (1) the specific strategies </w:t>
            </w:r>
            <w:r>
              <w:rPr>
                <w:rFonts w:cstheme="minorHAnsi"/>
                <w:bCs/>
                <w:sz w:val="20"/>
              </w:rPr>
              <w:t xml:space="preserve">that have been implemented that </w:t>
            </w:r>
            <w:r w:rsidRPr="000507B7">
              <w:rPr>
                <w:rFonts w:cstheme="minorHAnsi"/>
                <w:bCs/>
                <w:sz w:val="20"/>
              </w:rPr>
              <w:t>affirmatively further fair housing as detail</w:t>
            </w:r>
            <w:r>
              <w:rPr>
                <w:rFonts w:cstheme="minorHAnsi"/>
                <w:bCs/>
                <w:sz w:val="20"/>
              </w:rPr>
              <w:t xml:space="preserve">ed in 24 CFR 578.93(c); and (2) </w:t>
            </w:r>
            <w:r w:rsidRPr="000507B7">
              <w:rPr>
                <w:rFonts w:cstheme="minorHAnsi"/>
                <w:bCs/>
                <w:sz w:val="20"/>
              </w:rPr>
              <w:t>what measures have been taken to pro</w:t>
            </w:r>
            <w:r>
              <w:rPr>
                <w:rFonts w:cstheme="minorHAnsi"/>
                <w:bCs/>
                <w:sz w:val="20"/>
              </w:rPr>
              <w:t xml:space="preserve">vide effective communication to </w:t>
            </w:r>
            <w:r w:rsidRPr="000507B7">
              <w:rPr>
                <w:rFonts w:cstheme="minorHAnsi"/>
                <w:bCs/>
                <w:sz w:val="20"/>
              </w:rPr>
              <w:t>persons with disabilities and those wi</w:t>
            </w:r>
            <w:r>
              <w:rPr>
                <w:rFonts w:cstheme="minorHAnsi"/>
                <w:bCs/>
                <w:sz w:val="20"/>
              </w:rPr>
              <w:t xml:space="preserve">th limited English proficiency. </w:t>
            </w:r>
            <w:r w:rsidRPr="000507B7">
              <w:rPr>
                <w:rFonts w:cstheme="minorHAnsi"/>
                <w:bCs/>
                <w:sz w:val="20"/>
              </w:rPr>
              <w:t>(limit 1000 characters)</w:t>
            </w:r>
          </w:p>
        </w:tc>
        <w:tc>
          <w:tcPr>
            <w:tcW w:w="540" w:type="dxa"/>
          </w:tcPr>
          <w:p w:rsidR="001322C8" w:rsidRPr="000507B7" w:rsidRDefault="00C846E1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C846E1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C846E1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 Resource</w:t>
            </w:r>
          </w:p>
        </w:tc>
        <w:sdt>
          <w:sdtPr>
            <w:rPr>
              <w:rFonts w:cstheme="minorHAnsi"/>
              <w:sz w:val="20"/>
            </w:rPr>
            <w:id w:val="-141862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4A-6. Compare the number of RRH beds available to serve populations</w:t>
            </w:r>
            <w:r>
              <w:rPr>
                <w:rFonts w:cstheme="minorHAnsi"/>
                <w:bCs/>
                <w:sz w:val="20"/>
              </w:rPr>
              <w:t xml:space="preserve"> </w:t>
            </w:r>
            <w:r w:rsidRPr="000507B7">
              <w:rPr>
                <w:rFonts w:cstheme="minorHAnsi"/>
                <w:bCs/>
                <w:sz w:val="20"/>
              </w:rPr>
              <w:t>from the 2016 and 2017 HIC.</w:t>
            </w:r>
          </w:p>
        </w:tc>
        <w:tc>
          <w:tcPr>
            <w:tcW w:w="540" w:type="dxa"/>
          </w:tcPr>
          <w:p w:rsidR="001322C8" w:rsidRPr="000507B7" w:rsidRDefault="00C846E1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58257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>4A-7. Are new propo</w:t>
            </w:r>
            <w:r>
              <w:rPr>
                <w:rFonts w:cstheme="minorHAnsi"/>
                <w:bCs/>
                <w:sz w:val="20"/>
              </w:rPr>
              <w:t xml:space="preserve">sed project applications </w:t>
            </w:r>
            <w:r w:rsidRPr="000507B7">
              <w:rPr>
                <w:rFonts w:cstheme="minorHAnsi"/>
                <w:bCs/>
                <w:sz w:val="20"/>
              </w:rPr>
              <w:t xml:space="preserve">requesting </w:t>
            </w:r>
            <w:r>
              <w:rPr>
                <w:rFonts w:cstheme="minorHAnsi"/>
                <w:bCs/>
                <w:sz w:val="20"/>
              </w:rPr>
              <w:t xml:space="preserve">$200,000 or more in funding for </w:t>
            </w:r>
            <w:r w:rsidRPr="000507B7">
              <w:rPr>
                <w:rFonts w:cstheme="minorHAnsi"/>
                <w:bCs/>
                <w:sz w:val="20"/>
              </w:rPr>
              <w:t>housing rehabilitation or new construction?</w:t>
            </w:r>
          </w:p>
        </w:tc>
        <w:tc>
          <w:tcPr>
            <w:tcW w:w="540" w:type="dxa"/>
          </w:tcPr>
          <w:p w:rsidR="001322C8" w:rsidRPr="000507B7" w:rsidRDefault="00C846E1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-154135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</w:tcPr>
          <w:p w:rsidR="001322C8" w:rsidRPr="000507B7" w:rsidRDefault="001322C8" w:rsidP="001322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0507B7">
              <w:rPr>
                <w:rFonts w:cstheme="minorHAnsi"/>
                <w:bCs/>
                <w:sz w:val="20"/>
              </w:rPr>
              <w:t xml:space="preserve">4A-8. Is the </w:t>
            </w:r>
            <w:r>
              <w:rPr>
                <w:rFonts w:cstheme="minorHAnsi"/>
                <w:bCs/>
                <w:sz w:val="20"/>
              </w:rPr>
              <w:t xml:space="preserve">CoC requesting to designate one </w:t>
            </w:r>
            <w:r w:rsidRPr="000507B7">
              <w:rPr>
                <w:rFonts w:cstheme="minorHAnsi"/>
                <w:bCs/>
                <w:sz w:val="20"/>
              </w:rPr>
              <w:t>or m</w:t>
            </w:r>
            <w:r>
              <w:rPr>
                <w:rFonts w:cstheme="minorHAnsi"/>
                <w:bCs/>
                <w:sz w:val="20"/>
              </w:rPr>
              <w:t xml:space="preserve">ore SSO or TH projects to serve </w:t>
            </w:r>
            <w:r w:rsidRPr="000507B7">
              <w:rPr>
                <w:rFonts w:cstheme="minorHAnsi"/>
                <w:bCs/>
                <w:sz w:val="20"/>
              </w:rPr>
              <w:t>homele</w:t>
            </w:r>
            <w:r>
              <w:rPr>
                <w:rFonts w:cstheme="minorHAnsi"/>
                <w:bCs/>
                <w:sz w:val="20"/>
              </w:rPr>
              <w:t xml:space="preserve">ss households with children and </w:t>
            </w:r>
            <w:r w:rsidRPr="000507B7">
              <w:rPr>
                <w:rFonts w:cstheme="minorHAnsi"/>
                <w:bCs/>
                <w:sz w:val="20"/>
              </w:rPr>
              <w:t>youth defined as ho</w:t>
            </w:r>
            <w:r>
              <w:rPr>
                <w:rFonts w:cstheme="minorHAnsi"/>
                <w:bCs/>
                <w:sz w:val="20"/>
              </w:rPr>
              <w:t xml:space="preserve">meless under other </w:t>
            </w:r>
            <w:r w:rsidRPr="000507B7">
              <w:rPr>
                <w:rFonts w:cstheme="minorHAnsi"/>
                <w:bCs/>
                <w:sz w:val="20"/>
              </w:rPr>
              <w:t xml:space="preserve">Federal statues who are unstably housed (paragraph </w:t>
            </w:r>
            <w:r>
              <w:rPr>
                <w:rFonts w:cstheme="minorHAnsi"/>
                <w:bCs/>
                <w:sz w:val="20"/>
              </w:rPr>
              <w:t xml:space="preserve">3 of the definition of homeless </w:t>
            </w:r>
            <w:r w:rsidRPr="000507B7">
              <w:rPr>
                <w:rFonts w:cstheme="minorHAnsi"/>
                <w:bCs/>
                <w:sz w:val="20"/>
              </w:rPr>
              <w:t>found at 24 CFR 578.3).</w:t>
            </w:r>
          </w:p>
        </w:tc>
        <w:tc>
          <w:tcPr>
            <w:tcW w:w="540" w:type="dxa"/>
          </w:tcPr>
          <w:p w:rsidR="001322C8" w:rsidRPr="000507B7" w:rsidRDefault="00C846E1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17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1322C8" w:rsidRPr="000507B7" w:rsidRDefault="00C846E1" w:rsidP="001322C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</w:t>
            </w:r>
          </w:p>
        </w:tc>
        <w:tc>
          <w:tcPr>
            <w:tcW w:w="1080" w:type="dxa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sdt>
          <w:sdtPr>
            <w:rPr>
              <w:rFonts w:cstheme="minorHAnsi"/>
              <w:sz w:val="20"/>
            </w:rPr>
            <w:id w:val="29334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1322C8" w:rsidRPr="000507B7" w:rsidRDefault="001322C8" w:rsidP="001322C8">
                <w:pPr>
                  <w:jc w:val="center"/>
                  <w:rPr>
                    <w:rFonts w:cstheme="minorHAnsi"/>
                    <w:sz w:val="20"/>
                  </w:rPr>
                </w:pPr>
                <w:r w:rsidRPr="000507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322C8" w:rsidRPr="000507B7" w:rsidTr="00DD7365">
        <w:tc>
          <w:tcPr>
            <w:tcW w:w="7357" w:type="dxa"/>
            <w:shd w:val="clear" w:color="auto" w:fill="B2A1C7" w:themeFill="accent4" w:themeFillTint="99"/>
          </w:tcPr>
          <w:p w:rsidR="001322C8" w:rsidRPr="000507B7" w:rsidRDefault="001322C8" w:rsidP="001322C8">
            <w:pPr>
              <w:pStyle w:val="Heading1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0507B7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  <w:t>4B. Attachments</w:t>
            </w:r>
          </w:p>
        </w:tc>
        <w:tc>
          <w:tcPr>
            <w:tcW w:w="540" w:type="dxa"/>
            <w:shd w:val="clear" w:color="auto" w:fill="B2A1C7" w:themeFill="accent4" w:themeFillTint="99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shd w:val="clear" w:color="auto" w:fill="B2A1C7" w:themeFill="accent4" w:themeFillTint="99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shd w:val="clear" w:color="auto" w:fill="B2A1C7" w:themeFill="accent4" w:themeFillTint="99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0" w:type="dxa"/>
            <w:shd w:val="clear" w:color="auto" w:fill="B2A1C7" w:themeFill="accent4" w:themeFillTint="99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60" w:type="dxa"/>
            <w:shd w:val="clear" w:color="auto" w:fill="B2A1C7" w:themeFill="accent4" w:themeFillTint="99"/>
          </w:tcPr>
          <w:p w:rsidR="001322C8" w:rsidRPr="000507B7" w:rsidRDefault="001322C8" w:rsidP="001322C8">
            <w:pPr>
              <w:jc w:val="center"/>
              <w:rPr>
                <w:rFonts w:cstheme="minorHAnsi"/>
                <w:sz w:val="20"/>
              </w:rPr>
            </w:pPr>
          </w:p>
        </w:tc>
      </w:tr>
    </w:tbl>
    <w:tbl>
      <w:tblPr>
        <w:tblW w:w="1112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4C. Attachments"/>
      </w:tblPr>
      <w:tblGrid>
        <w:gridCol w:w="8782"/>
        <w:gridCol w:w="472"/>
        <w:gridCol w:w="1417"/>
        <w:gridCol w:w="450"/>
      </w:tblGrid>
      <w:tr w:rsidR="00DD7365" w:rsidRPr="000507B7" w:rsidTr="00DD7365">
        <w:trPr>
          <w:trHeight w:val="324"/>
          <w:tblCellSpacing w:w="15" w:type="dxa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6F01E4" w:rsidP="007D3555">
            <w:pPr>
              <w:rPr>
                <w:rFonts w:eastAsia="Times New Roman" w:cstheme="minorHAnsi"/>
                <w:sz w:val="20"/>
              </w:rPr>
            </w:pPr>
            <w:hyperlink r:id="rId8" w:tooltip="View this list item" w:history="1">
              <w:r w:rsidR="004903A5" w:rsidRPr="000507B7">
                <w:rPr>
                  <w:rFonts w:eastAsia="Times New Roman" w:cstheme="minorHAnsi"/>
                  <w:color w:val="0000FF"/>
                  <w:sz w:val="20"/>
                  <w:u w:val="single"/>
                </w:rPr>
                <w:t>01. 2016 CoC Consolidated Application: Evidence of the CoC's communication to rejected participants</w:t>
              </w:r>
            </w:hyperlink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  <w:r w:rsidRPr="000507B7">
              <w:rPr>
                <w:rFonts w:eastAsia="Times New Roman" w:cstheme="minorHAnsi"/>
                <w:sz w:val="20"/>
              </w:rPr>
              <w:t>Yes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</w:tr>
      <w:tr w:rsidR="00DD7365" w:rsidRPr="000507B7" w:rsidTr="00DD7365">
        <w:trPr>
          <w:trHeight w:val="170"/>
          <w:tblCellSpacing w:w="15" w:type="dxa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6F01E4" w:rsidP="007D3555">
            <w:pPr>
              <w:rPr>
                <w:rFonts w:eastAsia="Times New Roman" w:cstheme="minorHAnsi"/>
                <w:sz w:val="20"/>
              </w:rPr>
            </w:pPr>
            <w:hyperlink r:id="rId9" w:tooltip="View this list item" w:history="1">
              <w:r w:rsidR="004903A5" w:rsidRPr="000507B7">
                <w:rPr>
                  <w:rFonts w:eastAsia="Times New Roman" w:cstheme="minorHAnsi"/>
                  <w:color w:val="0000FF"/>
                  <w:sz w:val="20"/>
                  <w:u w:val="single"/>
                </w:rPr>
                <w:t>02. 2016 CoC Consolidated Application: Public Posting Evidence</w:t>
              </w:r>
            </w:hyperlink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  <w:r w:rsidRPr="000507B7">
              <w:rPr>
                <w:rFonts w:eastAsia="Times New Roman" w:cstheme="minorHAnsi"/>
                <w:sz w:val="20"/>
              </w:rPr>
              <w:t>Yes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</w:tr>
      <w:tr w:rsidR="00DD7365" w:rsidRPr="000507B7" w:rsidTr="00DD7365">
        <w:trPr>
          <w:trHeight w:val="170"/>
          <w:tblCellSpacing w:w="15" w:type="dxa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6F01E4" w:rsidP="007D3555">
            <w:pPr>
              <w:rPr>
                <w:rFonts w:eastAsia="Times New Roman" w:cstheme="minorHAnsi"/>
                <w:sz w:val="20"/>
              </w:rPr>
            </w:pPr>
            <w:hyperlink r:id="rId10" w:tooltip="View this list item" w:history="1">
              <w:r w:rsidR="004903A5" w:rsidRPr="000507B7">
                <w:rPr>
                  <w:rFonts w:eastAsia="Times New Roman" w:cstheme="minorHAnsi"/>
                  <w:color w:val="0000FF"/>
                  <w:sz w:val="20"/>
                  <w:u w:val="single"/>
                </w:rPr>
                <w:t>03. CoC Rating and Review Procedure (e.g. RFP)</w:t>
              </w:r>
            </w:hyperlink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  <w:r w:rsidRPr="000507B7">
              <w:rPr>
                <w:rFonts w:eastAsia="Times New Roman" w:cstheme="minorHAnsi"/>
                <w:sz w:val="20"/>
              </w:rPr>
              <w:t>Yes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</w:tr>
      <w:tr w:rsidR="00DD7365" w:rsidRPr="000507B7" w:rsidTr="00DD7365">
        <w:trPr>
          <w:trHeight w:val="170"/>
          <w:tblCellSpacing w:w="15" w:type="dxa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6F01E4" w:rsidP="007D3555">
            <w:pPr>
              <w:rPr>
                <w:rFonts w:eastAsia="Times New Roman" w:cstheme="minorHAnsi"/>
                <w:sz w:val="20"/>
              </w:rPr>
            </w:pPr>
            <w:hyperlink r:id="rId11" w:tooltip="View this list item" w:history="1">
              <w:r w:rsidR="004903A5" w:rsidRPr="000507B7">
                <w:rPr>
                  <w:rFonts w:eastAsia="Times New Roman" w:cstheme="minorHAnsi"/>
                  <w:color w:val="0000FF"/>
                  <w:sz w:val="20"/>
                  <w:u w:val="single"/>
                </w:rPr>
                <w:t>04. CoC's Rating and Review Procedure: Public Posting Evidence</w:t>
              </w:r>
            </w:hyperlink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  <w:r w:rsidRPr="000507B7">
              <w:rPr>
                <w:rFonts w:eastAsia="Times New Roman" w:cstheme="minorHAnsi"/>
                <w:sz w:val="20"/>
              </w:rPr>
              <w:t>Yes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</w:tr>
      <w:tr w:rsidR="00DD7365" w:rsidRPr="000507B7" w:rsidTr="00DD7365">
        <w:trPr>
          <w:trHeight w:val="170"/>
          <w:tblCellSpacing w:w="15" w:type="dxa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6F01E4" w:rsidP="007D3555">
            <w:pPr>
              <w:rPr>
                <w:rFonts w:eastAsia="Times New Roman" w:cstheme="minorHAnsi"/>
                <w:sz w:val="20"/>
              </w:rPr>
            </w:pPr>
            <w:hyperlink r:id="rId12" w:tooltip="View this list item" w:history="1">
              <w:r w:rsidR="004903A5" w:rsidRPr="000507B7">
                <w:rPr>
                  <w:rFonts w:eastAsia="Times New Roman" w:cstheme="minorHAnsi"/>
                  <w:color w:val="0000FF"/>
                  <w:sz w:val="20"/>
                  <w:u w:val="single"/>
                </w:rPr>
                <w:t>05. CoC</w:t>
              </w:r>
              <w:r w:rsidR="004903A5">
                <w:rPr>
                  <w:rFonts w:eastAsia="Times New Roman" w:cstheme="minorHAnsi"/>
                  <w:color w:val="0000FF"/>
                  <w:sz w:val="20"/>
                  <w:u w:val="single"/>
                </w:rPr>
                <w:t>’</w:t>
              </w:r>
              <w:r w:rsidR="004903A5" w:rsidRPr="000507B7">
                <w:rPr>
                  <w:rFonts w:eastAsia="Times New Roman" w:cstheme="minorHAnsi"/>
                  <w:color w:val="0000FF"/>
                  <w:sz w:val="20"/>
                  <w:u w:val="single"/>
                </w:rPr>
                <w:t>s Process for Reallocating</w:t>
              </w:r>
            </w:hyperlink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  <w:r w:rsidRPr="000507B7">
              <w:rPr>
                <w:rFonts w:eastAsia="Times New Roman" w:cstheme="minorHAnsi"/>
                <w:sz w:val="20"/>
              </w:rPr>
              <w:t>Yes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</w:tr>
      <w:tr w:rsidR="00DD7365" w:rsidRPr="000507B7" w:rsidTr="00DD7365">
        <w:trPr>
          <w:trHeight w:val="161"/>
          <w:tblCellSpacing w:w="15" w:type="dxa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6F01E4" w:rsidP="007D3555">
            <w:pPr>
              <w:rPr>
                <w:rFonts w:eastAsia="Times New Roman" w:cstheme="minorHAnsi"/>
                <w:sz w:val="20"/>
              </w:rPr>
            </w:pPr>
            <w:hyperlink r:id="rId13" w:tooltip="View this list item" w:history="1">
              <w:r w:rsidR="004903A5" w:rsidRPr="000507B7">
                <w:rPr>
                  <w:rFonts w:eastAsia="Times New Roman" w:cstheme="minorHAnsi"/>
                  <w:color w:val="0000FF"/>
                  <w:sz w:val="20"/>
                  <w:u w:val="single"/>
                </w:rPr>
                <w:t>06. CoC's Governance Charter</w:t>
              </w:r>
            </w:hyperlink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  <w:r w:rsidRPr="000507B7">
              <w:rPr>
                <w:rFonts w:eastAsia="Times New Roman" w:cstheme="minorHAnsi"/>
                <w:sz w:val="20"/>
              </w:rPr>
              <w:t>Yes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</w:tr>
      <w:tr w:rsidR="00DD7365" w:rsidRPr="000507B7" w:rsidTr="00DD7365">
        <w:trPr>
          <w:trHeight w:val="170"/>
          <w:tblCellSpacing w:w="15" w:type="dxa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6F01E4" w:rsidP="007D3555">
            <w:pPr>
              <w:rPr>
                <w:rFonts w:eastAsia="Times New Roman" w:cstheme="minorHAnsi"/>
                <w:sz w:val="20"/>
              </w:rPr>
            </w:pPr>
            <w:hyperlink r:id="rId14" w:tooltip="View this list item" w:history="1">
              <w:r w:rsidR="004903A5" w:rsidRPr="000507B7">
                <w:rPr>
                  <w:rFonts w:eastAsia="Times New Roman" w:cstheme="minorHAnsi"/>
                  <w:color w:val="0000FF"/>
                  <w:sz w:val="20"/>
                  <w:u w:val="single"/>
                </w:rPr>
                <w:t>07. HMIS Policy and Procedures Manual</w:t>
              </w:r>
            </w:hyperlink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  <w:r w:rsidRPr="000507B7">
              <w:rPr>
                <w:rFonts w:eastAsia="Times New Roman" w:cstheme="minorHAnsi"/>
                <w:sz w:val="20"/>
              </w:rPr>
              <w:t>Yes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</w:tr>
      <w:tr w:rsidR="00DD7365" w:rsidRPr="000507B7" w:rsidTr="00DD7365">
        <w:trPr>
          <w:trHeight w:val="332"/>
          <w:tblCellSpacing w:w="15" w:type="dxa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6F01E4" w:rsidP="007D3555">
            <w:pPr>
              <w:rPr>
                <w:rFonts w:eastAsia="Times New Roman" w:cstheme="minorHAnsi"/>
                <w:sz w:val="20"/>
              </w:rPr>
            </w:pPr>
            <w:hyperlink r:id="rId15" w:tooltip="View this list item" w:history="1">
              <w:r w:rsidR="004903A5" w:rsidRPr="000507B7">
                <w:rPr>
                  <w:rFonts w:eastAsia="Times New Roman" w:cstheme="minorHAnsi"/>
                  <w:color w:val="0000FF"/>
                  <w:sz w:val="20"/>
                  <w:u w:val="single"/>
                </w:rPr>
                <w:t>08. Applicable Sections of Con Plan to Serving Persons Defined as Homeless Under Other Fed Statutes</w:t>
              </w:r>
            </w:hyperlink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  <w:r w:rsidRPr="000507B7">
              <w:rPr>
                <w:rFonts w:eastAsia="Times New Roman" w:cstheme="minorHAnsi"/>
                <w:sz w:val="20"/>
              </w:rPr>
              <w:t>No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</w:tr>
      <w:tr w:rsidR="00DD7365" w:rsidRPr="000507B7" w:rsidTr="00DD7365">
        <w:trPr>
          <w:trHeight w:val="170"/>
          <w:tblCellSpacing w:w="15" w:type="dxa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6F01E4" w:rsidP="007D3555">
            <w:pPr>
              <w:rPr>
                <w:rFonts w:eastAsia="Times New Roman" w:cstheme="minorHAnsi"/>
                <w:sz w:val="20"/>
              </w:rPr>
            </w:pPr>
            <w:hyperlink r:id="rId16" w:tooltip="View this list item" w:history="1">
              <w:r w:rsidR="004903A5" w:rsidRPr="000507B7">
                <w:rPr>
                  <w:rFonts w:eastAsia="Times New Roman" w:cstheme="minorHAnsi"/>
                  <w:color w:val="0000FF"/>
                  <w:sz w:val="20"/>
                  <w:u w:val="single"/>
                </w:rPr>
                <w:t>09. PHA Administration Plan (Applicable Section(s) Only)</w:t>
              </w:r>
            </w:hyperlink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  <w:r w:rsidRPr="000507B7">
              <w:rPr>
                <w:rFonts w:eastAsia="Times New Roman" w:cstheme="minorHAnsi"/>
                <w:sz w:val="20"/>
              </w:rPr>
              <w:t>Yes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</w:tr>
      <w:tr w:rsidR="00DD7365" w:rsidRPr="000507B7" w:rsidTr="00DD7365">
        <w:trPr>
          <w:trHeight w:val="170"/>
          <w:tblCellSpacing w:w="15" w:type="dxa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6F01E4" w:rsidP="007D3555">
            <w:pPr>
              <w:rPr>
                <w:rFonts w:eastAsia="Times New Roman" w:cstheme="minorHAnsi"/>
                <w:sz w:val="20"/>
              </w:rPr>
            </w:pPr>
            <w:hyperlink r:id="rId17" w:tooltip="View this list item" w:history="1">
              <w:r w:rsidR="004903A5" w:rsidRPr="000507B7">
                <w:rPr>
                  <w:rFonts w:eastAsia="Times New Roman" w:cstheme="minorHAnsi"/>
                  <w:color w:val="0000FF"/>
                  <w:sz w:val="20"/>
                  <w:u w:val="single"/>
                </w:rPr>
                <w:t>10. CoC-HMIS MOU (if referenced in the CoC's Gover</w:t>
              </w:r>
              <w:r w:rsidR="004903A5">
                <w:rPr>
                  <w:rFonts w:eastAsia="Times New Roman" w:cstheme="minorHAnsi"/>
                  <w:color w:val="0000FF"/>
                  <w:sz w:val="20"/>
                  <w:u w:val="single"/>
                </w:rPr>
                <w:t>n</w:t>
              </w:r>
              <w:r w:rsidR="004903A5" w:rsidRPr="000507B7">
                <w:rPr>
                  <w:rFonts w:eastAsia="Times New Roman" w:cstheme="minorHAnsi"/>
                  <w:color w:val="0000FF"/>
                  <w:sz w:val="20"/>
                  <w:u w:val="single"/>
                </w:rPr>
                <w:t>ance Charter)</w:t>
              </w:r>
            </w:hyperlink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  <w:r w:rsidRPr="000507B7">
              <w:rPr>
                <w:rFonts w:eastAsia="Times New Roman" w:cstheme="minorHAnsi"/>
                <w:sz w:val="20"/>
              </w:rPr>
              <w:t>No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</w:tr>
      <w:tr w:rsidR="00DD7365" w:rsidRPr="000507B7" w:rsidTr="00DD7365">
        <w:trPr>
          <w:trHeight w:val="170"/>
          <w:tblCellSpacing w:w="15" w:type="dxa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6F01E4" w:rsidP="007D3555">
            <w:pPr>
              <w:rPr>
                <w:rFonts w:eastAsia="Times New Roman" w:cstheme="minorHAnsi"/>
                <w:sz w:val="20"/>
              </w:rPr>
            </w:pPr>
            <w:hyperlink r:id="rId18" w:tooltip="View this list item" w:history="1">
              <w:r w:rsidR="004903A5" w:rsidRPr="000507B7">
                <w:rPr>
                  <w:rFonts w:eastAsia="Times New Roman" w:cstheme="minorHAnsi"/>
                  <w:color w:val="0000FF"/>
                  <w:sz w:val="20"/>
                  <w:u w:val="single"/>
                </w:rPr>
                <w:t>11. CoC Written Standards for Order of Priority</w:t>
              </w:r>
            </w:hyperlink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  <w:r w:rsidRPr="000507B7">
              <w:rPr>
                <w:rFonts w:eastAsia="Times New Roman" w:cstheme="minorHAnsi"/>
                <w:sz w:val="20"/>
              </w:rPr>
              <w:t>No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</w:tr>
      <w:tr w:rsidR="00DD7365" w:rsidRPr="000507B7" w:rsidTr="00DD7365">
        <w:trPr>
          <w:trHeight w:val="332"/>
          <w:tblCellSpacing w:w="15" w:type="dxa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6F01E4" w:rsidP="007D3555">
            <w:pPr>
              <w:rPr>
                <w:rFonts w:eastAsia="Times New Roman" w:cstheme="minorHAnsi"/>
                <w:sz w:val="20"/>
              </w:rPr>
            </w:pPr>
            <w:hyperlink r:id="rId19" w:tooltip="View this list item" w:history="1">
              <w:r w:rsidR="004903A5" w:rsidRPr="000507B7">
                <w:rPr>
                  <w:rFonts w:eastAsia="Times New Roman" w:cstheme="minorHAnsi"/>
                  <w:color w:val="0000FF"/>
                  <w:sz w:val="20"/>
                  <w:u w:val="single"/>
                </w:rPr>
                <w:t>12. Project List to Serve Persons Defined as Homeless under Other Federal Statutes (if applicable)</w:t>
              </w:r>
            </w:hyperlink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  <w:r w:rsidRPr="000507B7">
              <w:rPr>
                <w:rFonts w:eastAsia="Times New Roman" w:cstheme="minorHAnsi"/>
                <w:sz w:val="20"/>
              </w:rPr>
              <w:t>No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</w:tr>
      <w:tr w:rsidR="00DD7365" w:rsidRPr="000507B7" w:rsidTr="00DD7365">
        <w:trPr>
          <w:trHeight w:val="170"/>
          <w:tblCellSpacing w:w="15" w:type="dxa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6F01E4" w:rsidP="007D3555">
            <w:pPr>
              <w:rPr>
                <w:rFonts w:eastAsia="Times New Roman" w:cstheme="minorHAnsi"/>
                <w:sz w:val="20"/>
              </w:rPr>
            </w:pPr>
            <w:hyperlink r:id="rId20" w:tooltip="View this list item" w:history="1">
              <w:r w:rsidR="004903A5" w:rsidRPr="000507B7">
                <w:rPr>
                  <w:rFonts w:eastAsia="Times New Roman" w:cstheme="minorHAnsi"/>
                  <w:color w:val="0000FF"/>
                  <w:sz w:val="20"/>
                  <w:u w:val="single"/>
                </w:rPr>
                <w:t>13. HDX-system Performance Measures</w:t>
              </w:r>
            </w:hyperlink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  <w:r w:rsidRPr="000507B7">
              <w:rPr>
                <w:rFonts w:eastAsia="Times New Roman" w:cstheme="minorHAnsi"/>
                <w:sz w:val="20"/>
              </w:rPr>
              <w:t>Yes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</w:tr>
      <w:tr w:rsidR="00DD7365" w:rsidRPr="000507B7" w:rsidTr="00DD7365">
        <w:trPr>
          <w:trHeight w:val="161"/>
          <w:tblCellSpacing w:w="15" w:type="dxa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6F01E4" w:rsidP="007D3555">
            <w:pPr>
              <w:rPr>
                <w:rFonts w:eastAsia="Times New Roman" w:cstheme="minorHAnsi"/>
                <w:sz w:val="20"/>
              </w:rPr>
            </w:pPr>
            <w:hyperlink r:id="rId21" w:tooltip="View this list item" w:history="1">
              <w:r w:rsidR="004903A5" w:rsidRPr="000507B7">
                <w:rPr>
                  <w:rFonts w:eastAsia="Times New Roman" w:cstheme="minorHAnsi"/>
                  <w:color w:val="0000FF"/>
                  <w:sz w:val="20"/>
                  <w:u w:val="single"/>
                </w:rPr>
                <w:t>14. Other</w:t>
              </w:r>
            </w:hyperlink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  <w:r w:rsidRPr="000507B7">
              <w:rPr>
                <w:rFonts w:eastAsia="Times New Roman" w:cstheme="minorHAnsi"/>
                <w:sz w:val="20"/>
              </w:rPr>
              <w:t>No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</w:tr>
      <w:tr w:rsidR="00DD7365" w:rsidRPr="000507B7" w:rsidTr="00DD7365">
        <w:trPr>
          <w:trHeight w:val="161"/>
          <w:tblCellSpacing w:w="15" w:type="dxa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6F01E4" w:rsidP="007D3555">
            <w:pPr>
              <w:rPr>
                <w:rFonts w:eastAsia="Times New Roman" w:cstheme="minorHAnsi"/>
                <w:sz w:val="20"/>
              </w:rPr>
            </w:pPr>
            <w:hyperlink r:id="rId22" w:tooltip="View this list item" w:history="1">
              <w:r w:rsidR="004903A5" w:rsidRPr="000507B7">
                <w:rPr>
                  <w:rFonts w:eastAsia="Times New Roman" w:cstheme="minorHAnsi"/>
                  <w:color w:val="0000FF"/>
                  <w:sz w:val="20"/>
                  <w:u w:val="single"/>
                </w:rPr>
                <w:t>15. Other</w:t>
              </w:r>
            </w:hyperlink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  <w:r w:rsidRPr="000507B7">
              <w:rPr>
                <w:rFonts w:eastAsia="Times New Roman" w:cstheme="minorHAnsi"/>
                <w:sz w:val="20"/>
              </w:rPr>
              <w:t>No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5" w:rsidRPr="000507B7" w:rsidRDefault="004903A5" w:rsidP="007D3555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5" w:rsidRPr="000507B7" w:rsidRDefault="004903A5" w:rsidP="007D3555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</w:tr>
    </w:tbl>
    <w:p w:rsidR="00152706" w:rsidRPr="00D47526" w:rsidRDefault="00152706" w:rsidP="009B2486">
      <w:pPr>
        <w:tabs>
          <w:tab w:val="left" w:pos="2955"/>
        </w:tabs>
        <w:rPr>
          <w:rFonts w:ascii="Times New Roman"/>
          <w:sz w:val="18"/>
        </w:rPr>
      </w:pPr>
    </w:p>
    <w:sectPr w:rsidR="00152706" w:rsidRPr="00D47526" w:rsidSect="006673C2">
      <w:headerReference w:type="default" r:id="rId23"/>
      <w:footerReference w:type="default" r:id="rId24"/>
      <w:pgSz w:w="12240" w:h="15840" w:code="1"/>
      <w:pgMar w:top="720" w:right="720" w:bottom="720" w:left="720" w:header="720" w:footer="432" w:gutter="0"/>
      <w:cols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6B" w:rsidRDefault="0097346B" w:rsidP="000679BA">
      <w:r>
        <w:separator/>
      </w:r>
    </w:p>
  </w:endnote>
  <w:endnote w:type="continuationSeparator" w:id="0">
    <w:p w:rsidR="0097346B" w:rsidRDefault="0097346B" w:rsidP="0006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6B" w:rsidRPr="008E43C3" w:rsidRDefault="0097346B">
    <w:pPr>
      <w:pStyle w:val="Footer"/>
      <w:rPr>
        <w:sz w:val="18"/>
        <w:szCs w:val="18"/>
      </w:rPr>
    </w:pPr>
    <w:r w:rsidRPr="008E43C3">
      <w:rPr>
        <w:sz w:val="18"/>
        <w:szCs w:val="18"/>
      </w:rPr>
      <w:fldChar w:fldCharType="begin"/>
    </w:r>
    <w:r w:rsidRPr="008E43C3">
      <w:rPr>
        <w:sz w:val="18"/>
        <w:szCs w:val="18"/>
      </w:rPr>
      <w:instrText xml:space="preserve"> FILENAME  \* FirstCap \p  \* MERGEFORMAT </w:instrText>
    </w:r>
    <w:r w:rsidRPr="008E43C3">
      <w:rPr>
        <w:sz w:val="18"/>
        <w:szCs w:val="18"/>
      </w:rPr>
      <w:fldChar w:fldCharType="separate"/>
    </w:r>
    <w:r w:rsidR="00D05349">
      <w:rPr>
        <w:noProof/>
        <w:sz w:val="18"/>
        <w:szCs w:val="18"/>
      </w:rPr>
      <w:t>I:\Homeless Initiatives\Collaborative Applicant\2017 Competition\FY 2017 Work Plan Draft 7-19-17.docx</w:t>
    </w:r>
    <w:r w:rsidRPr="008E43C3">
      <w:rPr>
        <w:sz w:val="18"/>
        <w:szCs w:val="18"/>
      </w:rPr>
      <w:fldChar w:fldCharType="end"/>
    </w:r>
    <w:r w:rsidRPr="008E43C3">
      <w:rPr>
        <w:sz w:val="18"/>
        <w:szCs w:val="18"/>
      </w:rPr>
      <w:t xml:space="preserve">                                                           Page </w:t>
    </w:r>
    <w:r w:rsidRPr="008E43C3">
      <w:rPr>
        <w:sz w:val="18"/>
        <w:szCs w:val="18"/>
      </w:rPr>
      <w:fldChar w:fldCharType="begin"/>
    </w:r>
    <w:r w:rsidRPr="008E43C3">
      <w:rPr>
        <w:sz w:val="18"/>
        <w:szCs w:val="18"/>
      </w:rPr>
      <w:instrText xml:space="preserve"> PAGE   \* MERGEFORMAT </w:instrText>
    </w:r>
    <w:r w:rsidRPr="008E43C3">
      <w:rPr>
        <w:sz w:val="18"/>
        <w:szCs w:val="18"/>
      </w:rPr>
      <w:fldChar w:fldCharType="separate"/>
    </w:r>
    <w:r w:rsidR="006F01E4">
      <w:rPr>
        <w:noProof/>
        <w:sz w:val="18"/>
        <w:szCs w:val="18"/>
      </w:rPr>
      <w:t>2</w:t>
    </w:r>
    <w:r w:rsidRPr="008E43C3">
      <w:rPr>
        <w:sz w:val="18"/>
        <w:szCs w:val="18"/>
      </w:rPr>
      <w:fldChar w:fldCharType="end"/>
    </w:r>
  </w:p>
  <w:p w:rsidR="0097346B" w:rsidRPr="008E43C3" w:rsidRDefault="009734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6B" w:rsidRDefault="0097346B" w:rsidP="000679BA">
      <w:r>
        <w:separator/>
      </w:r>
    </w:p>
  </w:footnote>
  <w:footnote w:type="continuationSeparator" w:id="0">
    <w:p w:rsidR="0097346B" w:rsidRDefault="0097346B" w:rsidP="00067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6B" w:rsidRDefault="0097346B">
    <w:pPr>
      <w:pStyle w:val="Header"/>
    </w:pPr>
    <w:r>
      <w:rPr>
        <w:noProof/>
      </w:rPr>
      <w:drawing>
        <wp:inline distT="0" distB="0" distL="0" distR="0" wp14:anchorId="09239D1E" wp14:editId="364F402C">
          <wp:extent cx="2627324" cy="508964"/>
          <wp:effectExtent l="0" t="0" r="1905" b="5715"/>
          <wp:docPr id="7" name="Picture 7" descr="MSHAlogo5265_583 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SHAlogo5265_583 2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602" cy="509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346B" w:rsidRPr="009001D7" w:rsidRDefault="0097346B" w:rsidP="00877EDD">
    <w:pPr>
      <w:pStyle w:val="Header"/>
      <w:jc w:val="center"/>
      <w:rPr>
        <w:sz w:val="28"/>
      </w:rPr>
    </w:pPr>
  </w:p>
  <w:p w:rsidR="0097346B" w:rsidRPr="009001D7" w:rsidRDefault="0097346B" w:rsidP="00877EDD">
    <w:pPr>
      <w:pStyle w:val="Header"/>
      <w:jc w:val="center"/>
      <w:rPr>
        <w:sz w:val="36"/>
        <w:szCs w:val="28"/>
      </w:rPr>
    </w:pPr>
    <w:r w:rsidRPr="009001D7">
      <w:rPr>
        <w:sz w:val="36"/>
        <w:szCs w:val="28"/>
      </w:rPr>
      <w:t xml:space="preserve">2017 </w:t>
    </w:r>
    <w:r>
      <w:rPr>
        <w:sz w:val="36"/>
        <w:szCs w:val="28"/>
      </w:rPr>
      <w:t>MCO</w:t>
    </w:r>
    <w:r w:rsidRPr="009001D7">
      <w:rPr>
        <w:sz w:val="36"/>
        <w:szCs w:val="28"/>
      </w:rPr>
      <w:t>C NOFA APPLICATION WORK PLAN</w:t>
    </w:r>
  </w:p>
  <w:p w:rsidR="0097346B" w:rsidRDefault="0097346B" w:rsidP="00877E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34342"/>
    <w:multiLevelType w:val="hybridMultilevel"/>
    <w:tmpl w:val="F934D0C4"/>
    <w:lvl w:ilvl="0" w:tplc="063433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E"/>
    <w:rsid w:val="000507B7"/>
    <w:rsid w:val="000679BA"/>
    <w:rsid w:val="000A3783"/>
    <w:rsid w:val="000A76C2"/>
    <w:rsid w:val="000E3E92"/>
    <w:rsid w:val="000F3BAE"/>
    <w:rsid w:val="0010331F"/>
    <w:rsid w:val="0012336F"/>
    <w:rsid w:val="00131EDA"/>
    <w:rsid w:val="001322C8"/>
    <w:rsid w:val="00152706"/>
    <w:rsid w:val="00156067"/>
    <w:rsid w:val="001565FD"/>
    <w:rsid w:val="00157A3F"/>
    <w:rsid w:val="00185C6B"/>
    <w:rsid w:val="001D6ED6"/>
    <w:rsid w:val="001E6BCA"/>
    <w:rsid w:val="001F3452"/>
    <w:rsid w:val="00212683"/>
    <w:rsid w:val="00213700"/>
    <w:rsid w:val="00217B70"/>
    <w:rsid w:val="00225F2E"/>
    <w:rsid w:val="00245CF9"/>
    <w:rsid w:val="00253953"/>
    <w:rsid w:val="00260A84"/>
    <w:rsid w:val="00261451"/>
    <w:rsid w:val="00265D54"/>
    <w:rsid w:val="00270EAD"/>
    <w:rsid w:val="002B0819"/>
    <w:rsid w:val="002C7D25"/>
    <w:rsid w:val="002D2BD5"/>
    <w:rsid w:val="00313DF9"/>
    <w:rsid w:val="00317C27"/>
    <w:rsid w:val="00342FDC"/>
    <w:rsid w:val="00354468"/>
    <w:rsid w:val="00360123"/>
    <w:rsid w:val="003779EA"/>
    <w:rsid w:val="00387DA1"/>
    <w:rsid w:val="003A1546"/>
    <w:rsid w:val="003B7D65"/>
    <w:rsid w:val="003C261A"/>
    <w:rsid w:val="003C3787"/>
    <w:rsid w:val="003C4D17"/>
    <w:rsid w:val="00401EF2"/>
    <w:rsid w:val="00420601"/>
    <w:rsid w:val="004214EB"/>
    <w:rsid w:val="004367AB"/>
    <w:rsid w:val="00436FD9"/>
    <w:rsid w:val="0045295F"/>
    <w:rsid w:val="004804D1"/>
    <w:rsid w:val="00486BE4"/>
    <w:rsid w:val="004903A5"/>
    <w:rsid w:val="00495DE3"/>
    <w:rsid w:val="004A2FCA"/>
    <w:rsid w:val="004A6AD8"/>
    <w:rsid w:val="004B0F56"/>
    <w:rsid w:val="004B29A1"/>
    <w:rsid w:val="004C1A82"/>
    <w:rsid w:val="004E510B"/>
    <w:rsid w:val="004F3069"/>
    <w:rsid w:val="00527D46"/>
    <w:rsid w:val="00537125"/>
    <w:rsid w:val="00550E35"/>
    <w:rsid w:val="00581270"/>
    <w:rsid w:val="005A203F"/>
    <w:rsid w:val="005A7608"/>
    <w:rsid w:val="005E5BE1"/>
    <w:rsid w:val="005F42FF"/>
    <w:rsid w:val="006050FD"/>
    <w:rsid w:val="00622711"/>
    <w:rsid w:val="00623301"/>
    <w:rsid w:val="006370E1"/>
    <w:rsid w:val="00642088"/>
    <w:rsid w:val="006472A4"/>
    <w:rsid w:val="00662999"/>
    <w:rsid w:val="006673C2"/>
    <w:rsid w:val="006909D5"/>
    <w:rsid w:val="006B4F90"/>
    <w:rsid w:val="006F01E4"/>
    <w:rsid w:val="007010B0"/>
    <w:rsid w:val="00712ACC"/>
    <w:rsid w:val="0072574C"/>
    <w:rsid w:val="0074053A"/>
    <w:rsid w:val="00742E8E"/>
    <w:rsid w:val="00746C40"/>
    <w:rsid w:val="00767954"/>
    <w:rsid w:val="00772C82"/>
    <w:rsid w:val="0077682B"/>
    <w:rsid w:val="00776D88"/>
    <w:rsid w:val="00777DA3"/>
    <w:rsid w:val="007C2B0D"/>
    <w:rsid w:val="0080102C"/>
    <w:rsid w:val="00803E96"/>
    <w:rsid w:val="00823D99"/>
    <w:rsid w:val="00877224"/>
    <w:rsid w:val="00877EDD"/>
    <w:rsid w:val="008B2A62"/>
    <w:rsid w:val="008D0142"/>
    <w:rsid w:val="008E0260"/>
    <w:rsid w:val="008E43C3"/>
    <w:rsid w:val="008E719E"/>
    <w:rsid w:val="008F391F"/>
    <w:rsid w:val="00900063"/>
    <w:rsid w:val="009001D7"/>
    <w:rsid w:val="00923A63"/>
    <w:rsid w:val="00951E9F"/>
    <w:rsid w:val="00963181"/>
    <w:rsid w:val="0097346B"/>
    <w:rsid w:val="009B2486"/>
    <w:rsid w:val="009B55D6"/>
    <w:rsid w:val="009D4320"/>
    <w:rsid w:val="00A00F60"/>
    <w:rsid w:val="00A52B94"/>
    <w:rsid w:val="00A57422"/>
    <w:rsid w:val="00AA2C01"/>
    <w:rsid w:val="00AA6F2E"/>
    <w:rsid w:val="00AC576F"/>
    <w:rsid w:val="00AE4833"/>
    <w:rsid w:val="00AE674F"/>
    <w:rsid w:val="00B02C66"/>
    <w:rsid w:val="00B03818"/>
    <w:rsid w:val="00B27938"/>
    <w:rsid w:val="00B31C7E"/>
    <w:rsid w:val="00B34956"/>
    <w:rsid w:val="00B45589"/>
    <w:rsid w:val="00B54A4F"/>
    <w:rsid w:val="00B55B56"/>
    <w:rsid w:val="00B606A4"/>
    <w:rsid w:val="00B82747"/>
    <w:rsid w:val="00BA42EE"/>
    <w:rsid w:val="00BB202C"/>
    <w:rsid w:val="00C02777"/>
    <w:rsid w:val="00C40F4E"/>
    <w:rsid w:val="00C517B8"/>
    <w:rsid w:val="00C60C1F"/>
    <w:rsid w:val="00C64873"/>
    <w:rsid w:val="00C846E1"/>
    <w:rsid w:val="00C91ACF"/>
    <w:rsid w:val="00CC3BF7"/>
    <w:rsid w:val="00CC7A7C"/>
    <w:rsid w:val="00CF114D"/>
    <w:rsid w:val="00D05349"/>
    <w:rsid w:val="00D07AD8"/>
    <w:rsid w:val="00D2439C"/>
    <w:rsid w:val="00D31293"/>
    <w:rsid w:val="00D31A9B"/>
    <w:rsid w:val="00D31B9F"/>
    <w:rsid w:val="00D47526"/>
    <w:rsid w:val="00D703CC"/>
    <w:rsid w:val="00D975B4"/>
    <w:rsid w:val="00DA16B7"/>
    <w:rsid w:val="00DA69B2"/>
    <w:rsid w:val="00DB4814"/>
    <w:rsid w:val="00DB4DF9"/>
    <w:rsid w:val="00DC142F"/>
    <w:rsid w:val="00DC4B07"/>
    <w:rsid w:val="00DD7365"/>
    <w:rsid w:val="00DE1691"/>
    <w:rsid w:val="00DF39F7"/>
    <w:rsid w:val="00E06BEB"/>
    <w:rsid w:val="00E2568E"/>
    <w:rsid w:val="00E610CD"/>
    <w:rsid w:val="00E77E44"/>
    <w:rsid w:val="00E83A3C"/>
    <w:rsid w:val="00E9034F"/>
    <w:rsid w:val="00EA7A8F"/>
    <w:rsid w:val="00EE21BE"/>
    <w:rsid w:val="00F91C49"/>
    <w:rsid w:val="00FE3DFF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92DF18F4-BE00-4E45-9F35-A0343770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06"/>
  </w:style>
  <w:style w:type="paragraph" w:styleId="Heading1">
    <w:name w:val="heading 1"/>
    <w:basedOn w:val="Normal"/>
    <w:link w:val="Heading1Char"/>
    <w:uiPriority w:val="9"/>
    <w:qFormat/>
    <w:rsid w:val="000E3E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A8F"/>
    <w:pPr>
      <w:ind w:left="720"/>
      <w:contextualSpacing/>
    </w:pPr>
  </w:style>
  <w:style w:type="table" w:styleId="TableGrid">
    <w:name w:val="Table Grid"/>
    <w:basedOn w:val="TableNormal"/>
    <w:uiPriority w:val="59"/>
    <w:rsid w:val="00C6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9BA"/>
  </w:style>
  <w:style w:type="paragraph" w:styleId="Footer">
    <w:name w:val="footer"/>
    <w:basedOn w:val="Normal"/>
    <w:link w:val="FooterChar"/>
    <w:uiPriority w:val="99"/>
    <w:unhideWhenUsed/>
    <w:rsid w:val="00067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9BA"/>
  </w:style>
  <w:style w:type="paragraph" w:styleId="BalloonText">
    <w:name w:val="Balloon Text"/>
    <w:basedOn w:val="Normal"/>
    <w:link w:val="BalloonTextChar"/>
    <w:uiPriority w:val="99"/>
    <w:semiHidden/>
    <w:unhideWhenUsed/>
    <w:rsid w:val="00067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12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3E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9034F"/>
    <w:rPr>
      <w:color w:val="0000FF"/>
      <w:u w:val="single"/>
    </w:rPr>
  </w:style>
  <w:style w:type="character" w:customStyle="1" w:styleId="textsmall">
    <w:name w:val="textsmall"/>
    <w:basedOn w:val="DefaultParagraphFont"/>
    <w:rsid w:val="001E6BCA"/>
  </w:style>
  <w:style w:type="character" w:styleId="Emphasis">
    <w:name w:val="Emphasis"/>
    <w:basedOn w:val="DefaultParagraphFont"/>
    <w:uiPriority w:val="20"/>
    <w:qFormat/>
    <w:rsid w:val="00157A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naps.hud.gov/grantium/viewFormlet_Details.jsf" TargetMode="External"/><Relationship Id="rId13" Type="http://schemas.openxmlformats.org/officeDocument/2006/relationships/hyperlink" Target="https://esnaps.hud.gov/grantium/viewFormlet_Details.jsf" TargetMode="External"/><Relationship Id="rId18" Type="http://schemas.openxmlformats.org/officeDocument/2006/relationships/hyperlink" Target="https://esnaps.hud.gov/grantium/viewFormlet_Details.js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snaps.hud.gov/grantium/viewFormlet_Details.js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naps.hud.gov/grantium/viewFormlet_Details.jsf" TargetMode="External"/><Relationship Id="rId17" Type="http://schemas.openxmlformats.org/officeDocument/2006/relationships/hyperlink" Target="https://esnaps.hud.gov/grantium/viewFormlet_Details.js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naps.hud.gov/grantium/viewFormlet_Details.jsf" TargetMode="External"/><Relationship Id="rId20" Type="http://schemas.openxmlformats.org/officeDocument/2006/relationships/hyperlink" Target="https://esnaps.hud.gov/grantium/viewFormlet_Details.js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naps.hud.gov/grantium/viewFormlet_Details.js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snaps.hud.gov/grantium/viewFormlet_Details.js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esnaps.hud.gov/grantium/viewFormlet_Details.jsf" TargetMode="External"/><Relationship Id="rId19" Type="http://schemas.openxmlformats.org/officeDocument/2006/relationships/hyperlink" Target="https://esnaps.hud.gov/grantium/viewFormlet_Details.js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naps.hud.gov/grantium/viewFormlet_Details.jsf" TargetMode="External"/><Relationship Id="rId14" Type="http://schemas.openxmlformats.org/officeDocument/2006/relationships/hyperlink" Target="https://esnaps.hud.gov/grantium/viewFormlet_Details.jsf" TargetMode="External"/><Relationship Id="rId22" Type="http://schemas.openxmlformats.org/officeDocument/2006/relationships/hyperlink" Target="https://esnaps.hud.gov/grantium/viewFormlet_Details.j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88BE-CC46-419E-96EB-BC16783D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4646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FY2015 MCoC NOFA APPLICATION WORK PLAN</vt:lpstr>
    </vt:vector>
  </TitlesOfParts>
  <Company>Maine State Housing Authority</Company>
  <LinksUpToDate>false</LinksUpToDate>
  <CharactersWithSpaces>31072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FY2015 MCoC NOFA APPLICATION WORK PLAN</dc:title>
  <dc:creator>Scott Tibbitts</dc:creator>
  <cp:lastModifiedBy>Scott Tibbitts</cp:lastModifiedBy>
  <cp:revision>6</cp:revision>
  <cp:lastPrinted>2017-07-19T19:17:00Z</cp:lastPrinted>
  <dcterms:created xsi:type="dcterms:W3CDTF">2017-07-19T17:03:00Z</dcterms:created>
  <dcterms:modified xsi:type="dcterms:W3CDTF">2017-07-20T12:12:00Z</dcterms:modified>
</cp:coreProperties>
</file>