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74E06207" w:rsidR="00AC1C66" w:rsidRDefault="00E9055C" w:rsidP="00EC3639">
      <w:pPr>
        <w:spacing w:line="240" w:lineRule="auto"/>
        <w:contextualSpacing/>
        <w:rPr>
          <w:b/>
        </w:rPr>
      </w:pPr>
      <w:r>
        <w:rPr>
          <w:b/>
        </w:rPr>
        <w:t xml:space="preserve">Policy/Advocacy Update – </w:t>
      </w:r>
      <w:r w:rsidR="00C067D7">
        <w:rPr>
          <w:b/>
        </w:rPr>
        <w:t>July</w:t>
      </w:r>
      <w:r w:rsidR="003721CA">
        <w:rPr>
          <w:b/>
        </w:rPr>
        <w:t xml:space="preserve"> </w:t>
      </w:r>
      <w:r w:rsidR="00422527">
        <w:rPr>
          <w:b/>
        </w:rPr>
        <w:t>2015</w:t>
      </w:r>
    </w:p>
    <w:p w14:paraId="3D693CAD" w14:textId="77777777" w:rsidR="00A73A3B" w:rsidRPr="00E9055C" w:rsidRDefault="00A73A3B" w:rsidP="00A73A3B">
      <w:pPr>
        <w:spacing w:line="240" w:lineRule="auto"/>
        <w:contextualSpacing/>
        <w:rPr>
          <w:b/>
        </w:rPr>
      </w:pPr>
      <w:r w:rsidRPr="00E9055C">
        <w:rPr>
          <w:b/>
        </w:rPr>
        <w:t>Federal Legislation Update:</w:t>
      </w:r>
    </w:p>
    <w:p w14:paraId="2E516D05" w14:textId="06233886" w:rsidR="00C720EE" w:rsidRDefault="00C720EE" w:rsidP="00C720EE">
      <w:pPr>
        <w:pStyle w:val="ListParagraph"/>
        <w:numPr>
          <w:ilvl w:val="0"/>
          <w:numId w:val="11"/>
        </w:numPr>
        <w:ind w:left="720"/>
        <w:rPr>
          <w:b/>
        </w:rPr>
      </w:pPr>
      <w:r w:rsidRPr="00C720EE">
        <w:rPr>
          <w:b/>
        </w:rPr>
        <w:t>Senate T-HUD Bill:</w:t>
      </w:r>
      <w:r>
        <w:t xml:space="preserve">  </w:t>
      </w:r>
      <w:r w:rsidRPr="00C720EE">
        <w:t xml:space="preserve">Senate Appropriations Committee released its </w:t>
      </w:r>
      <w:r>
        <w:t xml:space="preserve">FY 16 </w:t>
      </w:r>
      <w:r w:rsidRPr="00C720EE">
        <w:t xml:space="preserve">spending bill that would allocate $55.646 billion for the Transportation, Housing and Urban Development, and Related Agencies (T-HUD) Subcommittee. This is $376 million above the House spending bill. </w:t>
      </w:r>
      <w:r>
        <w:t>The Senate T-HUD Committee</w:t>
      </w:r>
      <w:r w:rsidRPr="00C720EE">
        <w:t xml:space="preserve"> will</w:t>
      </w:r>
      <w:r>
        <w:t xml:space="preserve"> now</w:t>
      </w:r>
      <w:r w:rsidRPr="00C720EE">
        <w:t xml:space="preserve"> begin marking up </w:t>
      </w:r>
      <w:r>
        <w:t xml:space="preserve">its </w:t>
      </w:r>
      <w:r w:rsidRPr="00C720EE">
        <w:t>s</w:t>
      </w:r>
      <w:r>
        <w:t>pending bill.</w:t>
      </w:r>
      <w:r w:rsidR="00AC5698">
        <w:t xml:space="preserve">  </w:t>
      </w:r>
      <w:r w:rsidR="00AC5698" w:rsidRPr="00AC5698">
        <w:rPr>
          <w:b/>
        </w:rPr>
        <w:t xml:space="preserve">The Subcommittee </w:t>
      </w:r>
      <w:r w:rsidR="005C31DD">
        <w:rPr>
          <w:b/>
        </w:rPr>
        <w:t xml:space="preserve">passed </w:t>
      </w:r>
      <w:r w:rsidR="00AC5698" w:rsidRPr="00AC5698">
        <w:rPr>
          <w:b/>
        </w:rPr>
        <w:t xml:space="preserve">its FY16 spending bill on Tuesday, </w:t>
      </w:r>
      <w:r w:rsidR="001B222B">
        <w:rPr>
          <w:b/>
        </w:rPr>
        <w:t>6/23.</w:t>
      </w:r>
      <w:r w:rsidR="005C31DD">
        <w:rPr>
          <w:b/>
        </w:rPr>
        <w:t xml:space="preserve"> </w:t>
      </w:r>
      <w:r w:rsidR="00AC5698" w:rsidRPr="00AC5698">
        <w:rPr>
          <w:b/>
        </w:rPr>
        <w:t xml:space="preserve"> </w:t>
      </w:r>
      <w:r w:rsidR="005C31DD">
        <w:rPr>
          <w:b/>
        </w:rPr>
        <w:t xml:space="preserve">The full Appropriations Committee </w:t>
      </w:r>
      <w:r w:rsidR="0015605F">
        <w:rPr>
          <w:b/>
        </w:rPr>
        <w:t xml:space="preserve">marked up and voted to approve the bill on 6/25.  </w:t>
      </w:r>
    </w:p>
    <w:p w14:paraId="5CEA8BB1" w14:textId="5557AD76" w:rsidR="005C31DD" w:rsidRDefault="005C31DD" w:rsidP="005C31DD">
      <w:pPr>
        <w:pStyle w:val="ListParagraph"/>
      </w:pPr>
      <w:r>
        <w:t>The bill would:</w:t>
      </w:r>
    </w:p>
    <w:p w14:paraId="1F0DF449" w14:textId="387BAB66" w:rsidR="0040098C" w:rsidRDefault="0040098C" w:rsidP="0040098C">
      <w:pPr>
        <w:pStyle w:val="ListParagraph"/>
        <w:numPr>
          <w:ilvl w:val="1"/>
          <w:numId w:val="16"/>
        </w:numPr>
      </w:pPr>
      <w:r>
        <w:t>Increase</w:t>
      </w:r>
      <w:r>
        <w:t xml:space="preserve"> funding for voucher renewals by $496 million over 2015. But that is still $352 million less for voucher renewals than the President requested in his budget, and $169 million less than the House included in their bill.</w:t>
      </w:r>
    </w:p>
    <w:p w14:paraId="75616464" w14:textId="60719C02" w:rsidR="0040098C" w:rsidRDefault="0040098C" w:rsidP="0040098C">
      <w:pPr>
        <w:pStyle w:val="ListParagraph"/>
        <w:numPr>
          <w:ilvl w:val="1"/>
          <w:numId w:val="16"/>
        </w:numPr>
      </w:pPr>
      <w:r>
        <w:t>P</w:t>
      </w:r>
      <w:r>
        <w:t>rovides $75 million for about 10,000 new HUD-VASH vouchers (which were not included in the House bill or the President’s budget request)</w:t>
      </w:r>
    </w:p>
    <w:p w14:paraId="601A5395" w14:textId="77777777" w:rsidR="0040098C" w:rsidRDefault="0040098C" w:rsidP="0040098C">
      <w:pPr>
        <w:pStyle w:val="ListParagraph"/>
        <w:numPr>
          <w:ilvl w:val="1"/>
          <w:numId w:val="16"/>
        </w:numPr>
      </w:pPr>
      <w:r>
        <w:t>Provide</w:t>
      </w:r>
      <w:r>
        <w:t xml:space="preserve"> $20 million for about 2,500 new FUP vouchers (as requested by the President to help restore the vouchers lost to sequestration). </w:t>
      </w:r>
    </w:p>
    <w:p w14:paraId="201D93B3" w14:textId="6D05684C" w:rsidR="005C31DD" w:rsidRPr="005C31DD" w:rsidRDefault="005C31DD" w:rsidP="0040098C">
      <w:pPr>
        <w:pStyle w:val="ListParagraph"/>
        <w:numPr>
          <w:ilvl w:val="1"/>
          <w:numId w:val="16"/>
        </w:numPr>
      </w:pPr>
      <w:r w:rsidRPr="005C31DD">
        <w:t>Not use any National Housing Trust Fund (NHTF) resources to fund other HUD housing programs, and does not restrict future NHTF funding in any way.</w:t>
      </w:r>
    </w:p>
    <w:p w14:paraId="29B8088E" w14:textId="0E5324D9" w:rsidR="005C31DD" w:rsidRPr="005C31DD" w:rsidRDefault="005C31DD" w:rsidP="005C31DD">
      <w:pPr>
        <w:pStyle w:val="ListParagraph"/>
        <w:numPr>
          <w:ilvl w:val="1"/>
          <w:numId w:val="16"/>
        </w:numPr>
      </w:pPr>
      <w:r w:rsidRPr="005C31DD">
        <w:t>Cut HOME funding from FY15’s level of $900 million to an FY16 level of $66 million.</w:t>
      </w:r>
    </w:p>
    <w:p w14:paraId="142CF0DA" w14:textId="26B94711" w:rsidR="005C31DD" w:rsidRPr="005C31DD" w:rsidRDefault="005C31DD" w:rsidP="005C31DD">
      <w:pPr>
        <w:pStyle w:val="ListParagraph"/>
        <w:numPr>
          <w:ilvl w:val="1"/>
          <w:numId w:val="16"/>
        </w:numPr>
      </w:pPr>
      <w:r w:rsidRPr="005C31DD">
        <w:t xml:space="preserve">Expand the Moving to Work demonstration (currently restricted to 39 public housing agencies) to an additional 300 PHAs. </w:t>
      </w:r>
    </w:p>
    <w:p w14:paraId="4C41C051" w14:textId="5D57D58E" w:rsidR="005C31DD" w:rsidRPr="005C31DD" w:rsidRDefault="005C31DD" w:rsidP="005C31DD">
      <w:pPr>
        <w:pStyle w:val="ListParagraph"/>
        <w:numPr>
          <w:ilvl w:val="1"/>
          <w:numId w:val="16"/>
        </w:numPr>
      </w:pPr>
      <w:r w:rsidRPr="005C31DD">
        <w:t xml:space="preserve">Provide a “full year” of funding for all project-based rental assistance contracts and continue assistance to all those currently served. </w:t>
      </w:r>
    </w:p>
    <w:p w14:paraId="55EFEAA8" w14:textId="14B4805E" w:rsidR="005C31DD" w:rsidRPr="005C31DD" w:rsidRDefault="005C31DD" w:rsidP="005C31DD">
      <w:pPr>
        <w:pStyle w:val="ListParagraph"/>
        <w:numPr>
          <w:ilvl w:val="1"/>
          <w:numId w:val="16"/>
        </w:numPr>
      </w:pPr>
      <w:r w:rsidRPr="005C31DD">
        <w:t>Provide $20 million for Family Unification Program vouchers.</w:t>
      </w:r>
    </w:p>
    <w:p w14:paraId="700A019A" w14:textId="6BAD52B0" w:rsidR="005C31DD" w:rsidRPr="005C31DD" w:rsidRDefault="005C31DD" w:rsidP="005C31DD">
      <w:pPr>
        <w:pStyle w:val="ListParagraph"/>
        <w:numPr>
          <w:ilvl w:val="1"/>
          <w:numId w:val="16"/>
        </w:numPr>
      </w:pPr>
      <w:r w:rsidRPr="005C31DD">
        <w:t>Provide $40 million for strategies to reduce youth homelessness.</w:t>
      </w:r>
    </w:p>
    <w:p w14:paraId="4AEC513A" w14:textId="734A2125" w:rsidR="005C31DD" w:rsidRPr="005C31DD" w:rsidRDefault="005C31DD" w:rsidP="005C31DD">
      <w:pPr>
        <w:pStyle w:val="ListParagraph"/>
        <w:numPr>
          <w:ilvl w:val="1"/>
          <w:numId w:val="16"/>
        </w:numPr>
      </w:pPr>
      <w:r w:rsidRPr="005C31DD">
        <w:t>Increase Section 811 Housing for Persons with Disabilities by $2 million, to $137 million.</w:t>
      </w:r>
    </w:p>
    <w:p w14:paraId="7CA65ABF" w14:textId="77777777" w:rsidR="005C31DD" w:rsidRPr="005C31DD" w:rsidRDefault="005C31DD" w:rsidP="005C31DD">
      <w:pPr>
        <w:pStyle w:val="ListParagraph"/>
        <w:numPr>
          <w:ilvl w:val="1"/>
          <w:numId w:val="16"/>
        </w:numPr>
      </w:pPr>
      <w:r w:rsidRPr="005C31DD">
        <w:t xml:space="preserve">Provide $330 million for the Housing Opportunities for Persons with AIDS (HOPWA) program and include an updated formula for distribution of HOPWA funds. </w:t>
      </w:r>
    </w:p>
    <w:p w14:paraId="08B4A64D" w14:textId="14F44AED" w:rsidR="005C31DD" w:rsidRDefault="005C31DD" w:rsidP="005C31DD">
      <w:pPr>
        <w:pStyle w:val="ListParagraph"/>
        <w:numPr>
          <w:ilvl w:val="1"/>
          <w:numId w:val="16"/>
        </w:numPr>
      </w:pPr>
      <w:r w:rsidRPr="005C31DD">
        <w:t>Decrease funding for Community Development Block Grants from FY15’s $3.1 billion to $2.9 billion for FY16.</w:t>
      </w:r>
    </w:p>
    <w:p w14:paraId="37914C3E" w14:textId="5C26B918" w:rsidR="0015605F" w:rsidRPr="005C31DD" w:rsidRDefault="0015605F" w:rsidP="005C31DD">
      <w:pPr>
        <w:pStyle w:val="ListParagraph"/>
        <w:numPr>
          <w:ilvl w:val="1"/>
          <w:numId w:val="16"/>
        </w:numPr>
      </w:pPr>
      <w:r>
        <w:t>Not amend the HUD definition of homelessness.</w:t>
      </w:r>
    </w:p>
    <w:p w14:paraId="346D40FD" w14:textId="2D838D42" w:rsidR="00444D3B" w:rsidRDefault="004A3EDB" w:rsidP="004A3EDB">
      <w:pPr>
        <w:pStyle w:val="ListParagraph"/>
        <w:numPr>
          <w:ilvl w:val="0"/>
          <w:numId w:val="11"/>
        </w:numPr>
        <w:ind w:left="720"/>
      </w:pPr>
      <w:r w:rsidRPr="004A3EDB">
        <w:rPr>
          <w:b/>
        </w:rPr>
        <w:t>House T-HUD Bill:</w:t>
      </w:r>
      <w:r>
        <w:t xml:space="preserve">  </w:t>
      </w:r>
      <w:r w:rsidR="007708D0" w:rsidRPr="007708D0">
        <w:rPr>
          <w:b/>
        </w:rPr>
        <w:t xml:space="preserve">The full House </w:t>
      </w:r>
      <w:r w:rsidR="007F32E6" w:rsidRPr="007F32E6">
        <w:rPr>
          <w:b/>
        </w:rPr>
        <w:t xml:space="preserve">approved the </w:t>
      </w:r>
      <w:r w:rsidR="007F32E6">
        <w:rPr>
          <w:b/>
        </w:rPr>
        <w:t xml:space="preserve">T-HUD bill on 6/9 </w:t>
      </w:r>
      <w:r w:rsidR="007F32E6" w:rsidRPr="007F32E6">
        <w:rPr>
          <w:b/>
        </w:rPr>
        <w:t>in a razor-thin 216-210 vote</w:t>
      </w:r>
      <w:r w:rsidR="007708D0">
        <w:t>.</w:t>
      </w:r>
      <w:r w:rsidR="00444D3B">
        <w:t xml:space="preserve">  </w:t>
      </w:r>
      <w:r w:rsidR="00444D3B" w:rsidRPr="00444D3B">
        <w:t xml:space="preserve">Passage of the bill came after </w:t>
      </w:r>
      <w:r w:rsidR="00444D3B">
        <w:t xml:space="preserve">Presidential </w:t>
      </w:r>
      <w:r w:rsidR="00444D3B" w:rsidRPr="00444D3B">
        <w:t>veto</w:t>
      </w:r>
      <w:r w:rsidR="00444D3B">
        <w:t xml:space="preserve"> threat</w:t>
      </w:r>
      <w:r w:rsidR="00444D3B" w:rsidRPr="00444D3B">
        <w:t xml:space="preserve"> earlier in the week because of insufficient funding levels, capped by sequestration, and controversial policy riders </w:t>
      </w:r>
      <w:r w:rsidR="00444D3B">
        <w:t xml:space="preserve">pertaining to transportation, relations with Cuba, and Guantanamo Bay prison transfers. </w:t>
      </w:r>
    </w:p>
    <w:p w14:paraId="14E4AD55" w14:textId="77777777" w:rsidR="00444D3B" w:rsidRDefault="00444D3B" w:rsidP="00444D3B">
      <w:pPr>
        <w:pStyle w:val="ListParagraph"/>
        <w:rPr>
          <w:b/>
        </w:rPr>
      </w:pPr>
    </w:p>
    <w:p w14:paraId="3CFAAC55" w14:textId="5E62F1D7" w:rsidR="004A3EDB" w:rsidRDefault="004A3EDB" w:rsidP="00444D3B">
      <w:pPr>
        <w:pStyle w:val="ListParagraph"/>
      </w:pPr>
      <w:r>
        <w:t>The bill drastically underfunds critical housing programs and transfers all funds set to go into the National Housing Trust Fund into the HOME program.  Among other harmful provisions, the draft bill would:</w:t>
      </w:r>
    </w:p>
    <w:p w14:paraId="580A6204" w14:textId="77777777" w:rsidR="004A3EDB" w:rsidRDefault="004A3EDB" w:rsidP="004A3EDB">
      <w:pPr>
        <w:pStyle w:val="ListParagraph"/>
        <w:numPr>
          <w:ilvl w:val="1"/>
          <w:numId w:val="11"/>
        </w:numPr>
        <w:ind w:left="1440"/>
      </w:pPr>
      <w:r>
        <w:t>Direct ALL National Housing Trust Fund (NHTF) money into the HOME Program, and forbid Congress from putting any other money into the NHTF.</w:t>
      </w:r>
    </w:p>
    <w:p w14:paraId="420D863B" w14:textId="77777777" w:rsidR="004A3EDB" w:rsidRDefault="004A3EDB" w:rsidP="004A3EDB">
      <w:pPr>
        <w:pStyle w:val="ListParagraph"/>
        <w:numPr>
          <w:ilvl w:val="1"/>
          <w:numId w:val="11"/>
        </w:numPr>
        <w:ind w:left="1440"/>
      </w:pPr>
      <w:r>
        <w:t>Cut HOME to $767 million from $900 million in FY15. HOME must be fully funded, in addition to, not at the expense of, critically needed funding for the NHTF.</w:t>
      </w:r>
    </w:p>
    <w:p w14:paraId="3F678CA9" w14:textId="77777777" w:rsidR="004A3EDB" w:rsidRDefault="004A3EDB" w:rsidP="004A3EDB">
      <w:pPr>
        <w:pStyle w:val="ListParagraph"/>
        <w:numPr>
          <w:ilvl w:val="1"/>
          <w:numId w:val="11"/>
        </w:numPr>
        <w:ind w:left="1440"/>
      </w:pPr>
      <w:r>
        <w:t xml:space="preserve">Underfund tenant-based rental assistance (TBRA), by $665 million. In order to simply renew all vouchers in use in 2015, TBRA would need an increase of $850 million. </w:t>
      </w:r>
    </w:p>
    <w:p w14:paraId="61DA8BF3" w14:textId="77777777" w:rsidR="004A3EDB" w:rsidRDefault="004A3EDB" w:rsidP="004A3EDB">
      <w:pPr>
        <w:pStyle w:val="ListParagraph"/>
        <w:numPr>
          <w:ilvl w:val="1"/>
          <w:numId w:val="11"/>
        </w:numPr>
        <w:ind w:left="1440"/>
      </w:pPr>
      <w:r>
        <w:t>Not provide funding to restore vouchers cut under sequestration in 2013, or provide funding for any new VASH vouchers.</w:t>
      </w:r>
    </w:p>
    <w:p w14:paraId="37246C88" w14:textId="55124812" w:rsidR="004A3EDB" w:rsidRDefault="004A3EDB" w:rsidP="004A3EDB">
      <w:pPr>
        <w:pStyle w:val="ListParagraph"/>
        <w:numPr>
          <w:ilvl w:val="1"/>
          <w:numId w:val="11"/>
        </w:numPr>
        <w:ind w:left="1440"/>
      </w:pPr>
      <w:r>
        <w:t>Underfund project-based rental assistance (PBRA). In order to renew existing contracts for 12 months, PBRA would need an increase of $1.2 billion. The bill provides only a $924 million increase.</w:t>
      </w:r>
    </w:p>
    <w:p w14:paraId="14106C2A" w14:textId="0CD8160F" w:rsidR="004A3EDB" w:rsidRDefault="004A3EDB" w:rsidP="004A3EDB">
      <w:pPr>
        <w:pStyle w:val="ListParagraph"/>
        <w:numPr>
          <w:ilvl w:val="1"/>
          <w:numId w:val="11"/>
        </w:numPr>
        <w:ind w:left="1440"/>
      </w:pPr>
      <w:r>
        <w:lastRenderedPageBreak/>
        <w:t>Underfund Homeless Assistance Grants.  The bill proposes funding at $2.185B, well under the President’s request of $2.48B, but above the FY 15 budget of $2.135B.  This would likely not be enough to renew existing grants.</w:t>
      </w:r>
    </w:p>
    <w:p w14:paraId="087B3DA5" w14:textId="2986D4E7" w:rsidR="007708D0" w:rsidRDefault="007708D0" w:rsidP="004A3EDB">
      <w:pPr>
        <w:pStyle w:val="ListParagraph"/>
        <w:numPr>
          <w:ilvl w:val="1"/>
          <w:numId w:val="11"/>
        </w:numPr>
        <w:ind w:left="1440"/>
      </w:pPr>
      <w:r>
        <w:t>Rep. Stivers’ amendment, which would “</w:t>
      </w:r>
      <w:r>
        <w:rPr>
          <w:rFonts w:ascii="Calibri" w:hAnsi="Calibri"/>
          <w:color w:val="000000"/>
          <w:sz w:val="21"/>
          <w:szCs w:val="21"/>
        </w:rPr>
        <w:t xml:space="preserve">prohibit the use of funds by the Private Enforcement Initiative of the Fair Housing Initiatives Program that awards grants to local non-profit organizations” </w:t>
      </w:r>
      <w:r>
        <w:t xml:space="preserve">passed the House on 6/3 in a vote of </w:t>
      </w:r>
      <w:r>
        <w:rPr>
          <w:rFonts w:ascii="Calibri" w:hAnsi="Calibri"/>
          <w:color w:val="000000"/>
          <w:sz w:val="21"/>
          <w:szCs w:val="21"/>
        </w:rPr>
        <w:t>224-198, with all Democrats voting against the amendment.</w:t>
      </w:r>
    </w:p>
    <w:p w14:paraId="2E2CB20F" w14:textId="7631815C" w:rsidR="00C42FF4" w:rsidRPr="00BC200D" w:rsidRDefault="00C42FF4" w:rsidP="00BC200D">
      <w:pPr>
        <w:pStyle w:val="ListParagraph"/>
        <w:numPr>
          <w:ilvl w:val="0"/>
          <w:numId w:val="1"/>
        </w:numPr>
        <w:rPr>
          <w:rStyle w:val="Strong"/>
          <w:b w:val="0"/>
          <w:bCs w:val="0"/>
        </w:rPr>
      </w:pPr>
      <w:r>
        <w:rPr>
          <w:rStyle w:val="Strong"/>
        </w:rPr>
        <w:t xml:space="preserve">President’s Budget:  </w:t>
      </w:r>
      <w:r w:rsidR="003721CA">
        <w:rPr>
          <w:rStyle w:val="Strong"/>
          <w:b w:val="0"/>
        </w:rPr>
        <w:t xml:space="preserve">The President’s budget has been announced.  </w:t>
      </w:r>
      <w:r w:rsidR="00BC200D" w:rsidRPr="00BC200D">
        <w:rPr>
          <w:rStyle w:val="Strong"/>
          <w:b w:val="0"/>
        </w:rPr>
        <w:t>Overall, the request seeks $49.3 billion for HUD, the largest amount this Administration has ever requested for the agency and $4 billion above HUD’s enacted FY15 level.</w:t>
      </w:r>
      <w:r w:rsidR="00BC200D">
        <w:rPr>
          <w:rStyle w:val="Strong"/>
          <w:b w:val="0"/>
        </w:rPr>
        <w:t xml:space="preserve">  </w:t>
      </w:r>
      <w:r w:rsidR="00BC200D" w:rsidRPr="003B47BC">
        <w:t xml:space="preserve">HUD’s requested funding increases described below will only be possible if Congress agrees to lift the </w:t>
      </w:r>
      <w:r w:rsidR="00BC200D">
        <w:t>Budget Control Act (BCA)</w:t>
      </w:r>
      <w:r w:rsidR="00BC200D" w:rsidRPr="003B47BC">
        <w:t xml:space="preserve"> spending caps.</w:t>
      </w:r>
    </w:p>
    <w:p w14:paraId="06ED2DC5" w14:textId="348DACD8" w:rsidR="00EE5864" w:rsidRPr="00EE5864" w:rsidRDefault="00EE5864" w:rsidP="00EE5864">
      <w:pPr>
        <w:pStyle w:val="ListParagraph"/>
        <w:numPr>
          <w:ilvl w:val="1"/>
          <w:numId w:val="1"/>
        </w:numPr>
      </w:pPr>
      <w:r>
        <w:rPr>
          <w:b/>
        </w:rPr>
        <w:t xml:space="preserve">Housing Choice Vouchers:  </w:t>
      </w:r>
      <w:r w:rsidR="00BC200D">
        <w:t>F</w:t>
      </w:r>
      <w:r w:rsidR="00BC200D" w:rsidRPr="003B47BC">
        <w:t>unds to renew existing vouchers and to restore 67,000 vouchers lost because of the BCA’s sequester cuts in 2013.</w:t>
      </w:r>
      <w:r>
        <w:t xml:space="preserve">  </w:t>
      </w:r>
      <w:r w:rsidRPr="003B47BC">
        <w:t>HUD would target 30,000 of these vouchers to special populations</w:t>
      </w:r>
      <w:r>
        <w:t xml:space="preserve">.  </w:t>
      </w:r>
      <w:r w:rsidRPr="00EE5864">
        <w:t>The voucher request from HUD would also mark the end of the Veterans Affairs Supportive Housing voucher program, whose programmatic goals would be carried out through the restored 67,000 vouchers.</w:t>
      </w:r>
    </w:p>
    <w:p w14:paraId="43D0045F" w14:textId="5621F372" w:rsidR="00BC200D" w:rsidRDefault="00EE5864" w:rsidP="00BC200D">
      <w:pPr>
        <w:pStyle w:val="ListParagraph"/>
        <w:numPr>
          <w:ilvl w:val="1"/>
          <w:numId w:val="1"/>
        </w:numPr>
      </w:pPr>
      <w:r>
        <w:rPr>
          <w:rStyle w:val="Strong"/>
          <w:bCs w:val="0"/>
        </w:rPr>
        <w:t xml:space="preserve">Project-Based Rental Assistance:  </w:t>
      </w:r>
      <w:r w:rsidRPr="003B47BC">
        <w:t>HUD’s request seeks $10.76 billion in FY16, almost $1 billion more than FY15. HUD says this amount is “complete year” funding, sufficient for 12 months of PBRA contract renewals and amendments.</w:t>
      </w:r>
    </w:p>
    <w:p w14:paraId="7E8F2F99" w14:textId="5C0AC2FF" w:rsidR="00EE5864" w:rsidRDefault="00EE5864" w:rsidP="00BC200D">
      <w:pPr>
        <w:pStyle w:val="ListParagraph"/>
        <w:numPr>
          <w:ilvl w:val="1"/>
          <w:numId w:val="1"/>
        </w:numPr>
      </w:pPr>
      <w:r>
        <w:rPr>
          <w:rStyle w:val="Strong"/>
          <w:bCs w:val="0"/>
        </w:rPr>
        <w:t xml:space="preserve">Homeless Assistance Grants:  </w:t>
      </w:r>
      <w:r w:rsidRPr="003B47BC">
        <w:t>HUD requests $2.480 billion for homeless assistance grants, through the Emergency Solutions Grant and Continuum of Care programs, well above FY15’s $2.135 billion level. The request also seeks to continue annual appropriations language allowing nonprofits to administer rental assistance.</w:t>
      </w:r>
    </w:p>
    <w:p w14:paraId="17B6D4B4" w14:textId="33EB5A0F" w:rsidR="00EE5864" w:rsidRDefault="00EE5864" w:rsidP="00BC200D">
      <w:pPr>
        <w:pStyle w:val="ListParagraph"/>
        <w:numPr>
          <w:ilvl w:val="1"/>
          <w:numId w:val="1"/>
        </w:numPr>
      </w:pPr>
      <w:r>
        <w:rPr>
          <w:rStyle w:val="Strong"/>
          <w:bCs w:val="0"/>
        </w:rPr>
        <w:t xml:space="preserve">HOME Fund:  </w:t>
      </w:r>
      <w:r>
        <w:t xml:space="preserve">Proposed increase </w:t>
      </w:r>
      <w:r w:rsidRPr="003B47BC">
        <w:t>from FY15</w:t>
      </w:r>
      <w:r>
        <w:t>’s $900 million level, to $1.06</w:t>
      </w:r>
      <w:r w:rsidRPr="003B47BC">
        <w:t xml:space="preserve"> billion in FY16</w:t>
      </w:r>
      <w:r>
        <w:t>.</w:t>
      </w:r>
    </w:p>
    <w:p w14:paraId="1D612C40" w14:textId="4921FBB7" w:rsidR="00EE5864" w:rsidRPr="00EE5864" w:rsidRDefault="00EE5864" w:rsidP="00BC200D">
      <w:pPr>
        <w:pStyle w:val="ListParagraph"/>
        <w:numPr>
          <w:ilvl w:val="1"/>
          <w:numId w:val="1"/>
        </w:numPr>
        <w:rPr>
          <w:b/>
        </w:rPr>
      </w:pPr>
      <w:r w:rsidRPr="00EE5864">
        <w:rPr>
          <w:rStyle w:val="Strong"/>
          <w:bCs w:val="0"/>
        </w:rPr>
        <w:t xml:space="preserve">CDBG:  </w:t>
      </w:r>
      <w:r w:rsidRPr="003B47BC">
        <w:t xml:space="preserve">The request seeks less funding for </w:t>
      </w:r>
      <w:r>
        <w:t>CDBG</w:t>
      </w:r>
      <w:r w:rsidRPr="003B47BC">
        <w:t xml:space="preserve"> in FY16 ($2.8 billion) than was provided in FY15 ($3 billion)</w:t>
      </w:r>
      <w:r>
        <w:t>.</w:t>
      </w:r>
    </w:p>
    <w:p w14:paraId="38BD16D7" w14:textId="601AA73B" w:rsidR="00EE5864" w:rsidRPr="00EE5864" w:rsidRDefault="00F7733C" w:rsidP="00BC200D">
      <w:pPr>
        <w:pStyle w:val="ListParagraph"/>
        <w:numPr>
          <w:ilvl w:val="1"/>
          <w:numId w:val="1"/>
        </w:numPr>
        <w:rPr>
          <w:b/>
        </w:rPr>
      </w:pPr>
      <w:r>
        <w:rPr>
          <w:rStyle w:val="Strong"/>
          <w:bCs w:val="0"/>
        </w:rPr>
        <w:t>HUD Section 81</w:t>
      </w:r>
      <w:r w:rsidR="00EE5864" w:rsidRPr="00EE5864">
        <w:rPr>
          <w:rStyle w:val="Strong"/>
          <w:bCs w:val="0"/>
        </w:rPr>
        <w:t>1</w:t>
      </w:r>
      <w:r w:rsidR="00EE5864">
        <w:rPr>
          <w:rStyle w:val="Strong"/>
          <w:b w:val="0"/>
          <w:bCs w:val="0"/>
        </w:rPr>
        <w:t xml:space="preserve">:  </w:t>
      </w:r>
      <w:r w:rsidR="00EE5864" w:rsidRPr="003B47BC">
        <w:t>HUD seeks a $42 million increase to $177 million for FY16. According to HUD, such a funding level would provide $150 million for the renewal and amendments of existing Section 811 operating subsidy contracts, and provide $25 million for new Project Rental Assistance awards</w:t>
      </w:r>
      <w:r w:rsidR="00EE5864">
        <w:t>.</w:t>
      </w:r>
    </w:p>
    <w:p w14:paraId="7CAFE1E9" w14:textId="70DB5502" w:rsidR="00EE5864" w:rsidRPr="004A3EDB" w:rsidRDefault="00EE5864" w:rsidP="00BC200D">
      <w:pPr>
        <w:pStyle w:val="ListParagraph"/>
        <w:numPr>
          <w:ilvl w:val="1"/>
          <w:numId w:val="1"/>
        </w:numPr>
        <w:rPr>
          <w:b/>
        </w:rPr>
      </w:pPr>
      <w:r>
        <w:rPr>
          <w:rStyle w:val="Strong"/>
          <w:bCs w:val="0"/>
        </w:rPr>
        <w:t>HOPWA</w:t>
      </w:r>
      <w:r w:rsidRPr="00EE5864">
        <w:rPr>
          <w:rStyle w:val="Strong"/>
        </w:rPr>
        <w:t>:</w:t>
      </w:r>
      <w:r>
        <w:rPr>
          <w:rStyle w:val="Strong"/>
        </w:rPr>
        <w:t xml:space="preserve">  </w:t>
      </w:r>
      <w:r>
        <w:t xml:space="preserve">HOPWA would receive a $2M </w:t>
      </w:r>
      <w:r w:rsidRPr="003B47BC">
        <w:t>increase, to $332</w:t>
      </w:r>
      <w:r>
        <w:t xml:space="preserve"> M</w:t>
      </w:r>
      <w:r w:rsidRPr="003B47BC">
        <w:t xml:space="preserve"> for FY16.</w:t>
      </w:r>
      <w:r w:rsidR="00826026">
        <w:t xml:space="preserve"> </w:t>
      </w:r>
    </w:p>
    <w:p w14:paraId="490E8337" w14:textId="77777777" w:rsidR="004A3EDB" w:rsidRPr="00EE5864" w:rsidRDefault="004A3EDB" w:rsidP="004A3EDB">
      <w:pPr>
        <w:pStyle w:val="ListParagraph"/>
        <w:ind w:left="1440"/>
        <w:rPr>
          <w:rStyle w:val="Strong"/>
          <w:bCs w:val="0"/>
        </w:rPr>
      </w:pPr>
    </w:p>
    <w:p w14:paraId="3C99BE5B" w14:textId="71287914" w:rsidR="00C42FF4" w:rsidRDefault="00C42FF4" w:rsidP="007431D1">
      <w:pPr>
        <w:pStyle w:val="ListParagraph"/>
        <w:numPr>
          <w:ilvl w:val="0"/>
          <w:numId w:val="1"/>
        </w:numPr>
        <w:rPr>
          <w:rStyle w:val="Strong"/>
          <w:bCs w:val="0"/>
        </w:rPr>
      </w:pPr>
      <w:r w:rsidRPr="00C42FF4">
        <w:rPr>
          <w:rStyle w:val="Strong"/>
          <w:bCs w:val="0"/>
        </w:rPr>
        <w:t>Bills to watch:</w:t>
      </w:r>
    </w:p>
    <w:p w14:paraId="635EF50E" w14:textId="55C50AB2" w:rsidR="00C42FF4" w:rsidRPr="00C42FF4" w:rsidRDefault="00C42FF4" w:rsidP="004045CF">
      <w:pPr>
        <w:pStyle w:val="ListParagraph"/>
        <w:numPr>
          <w:ilvl w:val="1"/>
          <w:numId w:val="1"/>
        </w:numPr>
        <w:rPr>
          <w:rStyle w:val="Strong"/>
          <w:b w:val="0"/>
          <w:bCs w:val="0"/>
        </w:rPr>
      </w:pPr>
      <w:r w:rsidRPr="00C42FF4">
        <w:rPr>
          <w:rStyle w:val="Strong"/>
          <w:b w:val="0"/>
          <w:bCs w:val="0"/>
        </w:rPr>
        <w:t>H.R. 574: To prohibit contributions by Fannie Mae and Freddie Mac to the Housing Trust Fund and the Capital Market Fund while such enterprises are in conservatorship or receivership, and for other purposes.  Sponsor: Rep. Edward “Ed” Royce [R-CA39]  *Sent to House Finance Committee on 1/27/15 – Maine Congressman Bruce Poliquin is a member of this committee</w:t>
      </w:r>
    </w:p>
    <w:p w14:paraId="156C4094" w14:textId="61CFF882" w:rsidR="00C42FF4" w:rsidRPr="00C42FF4" w:rsidRDefault="0060376C" w:rsidP="00C42FF4">
      <w:pPr>
        <w:pStyle w:val="ListParagraph"/>
        <w:numPr>
          <w:ilvl w:val="1"/>
          <w:numId w:val="1"/>
        </w:numPr>
        <w:rPr>
          <w:rStyle w:val="Strong"/>
          <w:b w:val="0"/>
          <w:bCs w:val="0"/>
        </w:rPr>
      </w:pPr>
      <w:r>
        <w:rPr>
          <w:rStyle w:val="Strong"/>
          <w:b w:val="0"/>
          <w:bCs w:val="0"/>
        </w:rPr>
        <w:t xml:space="preserve">H.R. 576 &amp; S. 256: </w:t>
      </w:r>
      <w:r w:rsidR="00C42FF4" w:rsidRPr="00C42FF4">
        <w:rPr>
          <w:rStyle w:val="Strong"/>
          <w:b w:val="0"/>
          <w:bCs w:val="0"/>
        </w:rPr>
        <w:t>To amend the definition of “homeless person” under the McKinney-Vento</w:t>
      </w:r>
      <w:r w:rsidR="00C42FF4" w:rsidRPr="00C42FF4">
        <w:rPr>
          <w:rStyle w:val="Strong"/>
          <w:bCs w:val="0"/>
        </w:rPr>
        <w:t xml:space="preserve"> </w:t>
      </w:r>
      <w:r w:rsidR="00C42FF4" w:rsidRPr="00C42FF4">
        <w:rPr>
          <w:rStyle w:val="Strong"/>
          <w:b w:val="0"/>
          <w:bCs w:val="0"/>
        </w:rPr>
        <w:t>Homeless Assistance Act to include certain homeless children and youth, and for other purposes.  Sponsor</w:t>
      </w:r>
      <w:r>
        <w:rPr>
          <w:rStyle w:val="Strong"/>
          <w:b w:val="0"/>
          <w:bCs w:val="0"/>
        </w:rPr>
        <w:t>s</w:t>
      </w:r>
      <w:r w:rsidR="00C42FF4" w:rsidRPr="00C42FF4">
        <w:rPr>
          <w:rStyle w:val="Strong"/>
          <w:b w:val="0"/>
          <w:bCs w:val="0"/>
        </w:rPr>
        <w:t>: Rep. Steve Stivers [R-OH15]</w:t>
      </w:r>
      <w:r>
        <w:rPr>
          <w:rStyle w:val="Strong"/>
          <w:b w:val="0"/>
          <w:bCs w:val="0"/>
        </w:rPr>
        <w:t xml:space="preserve"> for H.R. 574 and Sen. Dianne Feinstein [D-CA} for S. 256.  Both bills were sent to their respective committees</w:t>
      </w:r>
      <w:r w:rsidR="00C42FF4">
        <w:rPr>
          <w:rStyle w:val="Strong"/>
          <w:b w:val="0"/>
          <w:bCs w:val="0"/>
        </w:rPr>
        <w:t xml:space="preserve"> on 1/27/15.</w:t>
      </w:r>
    </w:p>
    <w:p w14:paraId="1454F182" w14:textId="10F08659" w:rsidR="006E2913" w:rsidRPr="006E2913" w:rsidRDefault="006E2913" w:rsidP="004045CF">
      <w:pPr>
        <w:pStyle w:val="ListParagraph"/>
        <w:numPr>
          <w:ilvl w:val="1"/>
          <w:numId w:val="1"/>
        </w:numPr>
        <w:rPr>
          <w:rStyle w:val="Strong"/>
          <w:b w:val="0"/>
          <w:bCs w:val="0"/>
        </w:rPr>
      </w:pPr>
      <w:r w:rsidRPr="006E2913">
        <w:rPr>
          <w:rStyle w:val="Strong"/>
          <w:b w:val="0"/>
          <w:bCs w:val="0"/>
        </w:rPr>
        <w:t>H.R. 1047: To authorize private nonprofit organizations to administer permanent housing rental assistance provided through the Continuum of Care Program under the McKinney-Vento Homeless Assistance Act, and for other purposes.</w:t>
      </w:r>
      <w:r>
        <w:rPr>
          <w:rStyle w:val="Strong"/>
          <w:b w:val="0"/>
          <w:bCs w:val="0"/>
        </w:rPr>
        <w:t xml:space="preserve">  </w:t>
      </w:r>
      <w:r w:rsidRPr="006E2913">
        <w:rPr>
          <w:rStyle w:val="Strong"/>
          <w:b w:val="0"/>
          <w:bCs w:val="0"/>
        </w:rPr>
        <w:t>Sponsor: Rep. Scott Peters [D-CA52]</w:t>
      </w:r>
      <w:r>
        <w:rPr>
          <w:rStyle w:val="Strong"/>
          <w:b w:val="0"/>
          <w:bCs w:val="0"/>
        </w:rPr>
        <w:t>.  Introduced on 2/24/15</w:t>
      </w:r>
      <w:r w:rsidR="00F53290">
        <w:rPr>
          <w:rStyle w:val="Strong"/>
          <w:b w:val="0"/>
          <w:bCs w:val="0"/>
        </w:rPr>
        <w:t xml:space="preserve"> and referred to the Financial Services Committee.</w:t>
      </w:r>
    </w:p>
    <w:p w14:paraId="5214B916" w14:textId="77777777" w:rsidR="00D355FB" w:rsidRDefault="00D355FB" w:rsidP="0060376C">
      <w:pPr>
        <w:spacing w:after="0" w:line="240" w:lineRule="auto"/>
        <w:contextualSpacing/>
        <w:rPr>
          <w:b/>
        </w:rPr>
      </w:pPr>
    </w:p>
    <w:p w14:paraId="1EF0658A" w14:textId="77777777" w:rsidR="00A73A3B" w:rsidRDefault="00A73A3B" w:rsidP="0060376C">
      <w:pPr>
        <w:spacing w:after="0" w:line="240" w:lineRule="auto"/>
        <w:contextualSpacing/>
        <w:rPr>
          <w:b/>
        </w:rPr>
      </w:pPr>
      <w:r w:rsidRPr="00E9055C">
        <w:rPr>
          <w:b/>
        </w:rPr>
        <w:t>State Legislation Update:</w:t>
      </w:r>
    </w:p>
    <w:p w14:paraId="036A5060" w14:textId="4950FCBD" w:rsidR="003721CA" w:rsidRPr="003721CA" w:rsidRDefault="003721CA" w:rsidP="0021758F">
      <w:pPr>
        <w:pStyle w:val="ListParagraph"/>
        <w:numPr>
          <w:ilvl w:val="0"/>
          <w:numId w:val="3"/>
        </w:numPr>
        <w:rPr>
          <w:color w:val="000000"/>
        </w:rPr>
      </w:pPr>
      <w:r>
        <w:rPr>
          <w:b/>
          <w:color w:val="000000"/>
        </w:rPr>
        <w:t xml:space="preserve">Bills to watch:  </w:t>
      </w:r>
    </w:p>
    <w:p w14:paraId="48D501D3" w14:textId="602913D3" w:rsidR="008B139A" w:rsidRDefault="008B139A" w:rsidP="003721CA">
      <w:pPr>
        <w:pStyle w:val="ListParagraph"/>
        <w:numPr>
          <w:ilvl w:val="1"/>
          <w:numId w:val="3"/>
        </w:numPr>
        <w:rPr>
          <w:color w:val="000000"/>
        </w:rPr>
      </w:pPr>
      <w:r>
        <w:rPr>
          <w:color w:val="000000"/>
        </w:rPr>
        <w:t>LD 443, A</w:t>
      </w:r>
      <w:r w:rsidR="00DC655D">
        <w:rPr>
          <w:color w:val="000000"/>
        </w:rPr>
        <w:t>n</w:t>
      </w:r>
      <w:r>
        <w:rPr>
          <w:color w:val="000000"/>
        </w:rPr>
        <w:t xml:space="preserve"> Act to Help Stabilize Homeless Shelters in Maine, sponsored by Sen. Justin Alfond (D-Portland).  This bill would provide $3.5M from the General Fund for homeless shelters.</w:t>
      </w:r>
      <w:r w:rsidR="00EF3720">
        <w:rPr>
          <w:color w:val="000000"/>
        </w:rPr>
        <w:t xml:space="preserve">  Currently 42 homeless shelters share less approximately $300,000 annually.</w:t>
      </w:r>
      <w:r>
        <w:rPr>
          <w:color w:val="000000"/>
        </w:rPr>
        <w:t xml:space="preserve"> </w:t>
      </w:r>
      <w:r w:rsidR="00F76DA0">
        <w:rPr>
          <w:b/>
          <w:color w:val="000000"/>
        </w:rPr>
        <w:t>Initial committee vote was 10-2 ought to pass as amended.  The amendments included reducing the amount to $2M and including a human trafficking shelter.</w:t>
      </w:r>
      <w:r w:rsidR="00B74C45">
        <w:rPr>
          <w:b/>
          <w:color w:val="000000"/>
        </w:rPr>
        <w:t xml:space="preserve">  </w:t>
      </w:r>
      <w:r w:rsidR="00762B4F">
        <w:rPr>
          <w:b/>
          <w:color w:val="000000"/>
        </w:rPr>
        <w:t xml:space="preserve">Under suspension of the rules </w:t>
      </w:r>
      <w:r w:rsidR="005F1241">
        <w:rPr>
          <w:b/>
          <w:color w:val="000000"/>
        </w:rPr>
        <w:t>both the House and Senate passed the bill</w:t>
      </w:r>
      <w:r w:rsidR="006F128F">
        <w:rPr>
          <w:b/>
          <w:color w:val="000000"/>
        </w:rPr>
        <w:t xml:space="preserve"> on 6/16</w:t>
      </w:r>
      <w:r w:rsidR="00762B4F">
        <w:rPr>
          <w:b/>
          <w:color w:val="000000"/>
        </w:rPr>
        <w:t>.  It was placed on the Special Appropriations Table</w:t>
      </w:r>
      <w:r w:rsidR="006F128F">
        <w:rPr>
          <w:b/>
          <w:color w:val="000000"/>
        </w:rPr>
        <w:t xml:space="preserve"> on 6/17 for enactment.   </w:t>
      </w:r>
    </w:p>
    <w:p w14:paraId="41DC6363" w14:textId="27CA0F7F" w:rsidR="008B7430" w:rsidRPr="00F8331B" w:rsidRDefault="008B7430" w:rsidP="008B7430">
      <w:pPr>
        <w:pStyle w:val="ListParagraph"/>
        <w:numPr>
          <w:ilvl w:val="1"/>
          <w:numId w:val="3"/>
        </w:numPr>
        <w:rPr>
          <w:color w:val="000000"/>
        </w:rPr>
      </w:pPr>
      <w:r w:rsidRPr="008B7430">
        <w:rPr>
          <w:color w:val="000000"/>
        </w:rPr>
        <w:t>LD 1035, An Act To Create a 9-month Time Limit on General Assistance Benefits, sponsored by Sen. Eric Brakey (R-Auburn), would limit general assistance to a maximum of 275 days every 5 years for a person who does not have any dependents and who is capable of working.</w:t>
      </w:r>
      <w:r w:rsidR="00E81F87">
        <w:rPr>
          <w:color w:val="000000"/>
        </w:rPr>
        <w:t xml:space="preserve">  </w:t>
      </w:r>
      <w:r w:rsidR="005F1241" w:rsidRPr="006C7E44">
        <w:rPr>
          <w:b/>
          <w:color w:val="000000"/>
        </w:rPr>
        <w:t xml:space="preserve">The </w:t>
      </w:r>
      <w:r w:rsidR="005F1241">
        <w:rPr>
          <w:b/>
          <w:color w:val="000000"/>
        </w:rPr>
        <w:t>chambers remained in non-concurrence on 6/23</w:t>
      </w:r>
      <w:r w:rsidR="005F1241">
        <w:rPr>
          <w:color w:val="000000"/>
        </w:rPr>
        <w:t>.  The bill is dead.</w:t>
      </w:r>
    </w:p>
    <w:p w14:paraId="38C0F53A" w14:textId="2A57C5A9" w:rsidR="00F8331B" w:rsidRDefault="00F8331B" w:rsidP="00F8331B">
      <w:pPr>
        <w:pStyle w:val="ListParagraph"/>
        <w:numPr>
          <w:ilvl w:val="1"/>
          <w:numId w:val="3"/>
        </w:numPr>
        <w:rPr>
          <w:color w:val="000000"/>
        </w:rPr>
      </w:pPr>
      <w:r>
        <w:rPr>
          <w:color w:val="000000"/>
        </w:rPr>
        <w:t>LD 369, majority report and with Sen. Volk’s amendment, t</w:t>
      </w:r>
      <w:r w:rsidRPr="00F8331B">
        <w:rPr>
          <w:color w:val="000000"/>
        </w:rPr>
        <w:t>o allow asylum seekers and other “lawfully present” immigrants to receive General Assistance welfare benefit</w:t>
      </w:r>
      <w:r>
        <w:rPr>
          <w:color w:val="000000"/>
        </w:rPr>
        <w:t xml:space="preserve">s for up to 24 months, </w:t>
      </w:r>
      <w:r w:rsidRPr="00F8331B">
        <w:rPr>
          <w:b/>
          <w:color w:val="000000"/>
        </w:rPr>
        <w:t>passed the Senate 29-5, and the House 81-63 (not a veto-proof majority).</w:t>
      </w:r>
      <w:r>
        <w:rPr>
          <w:color w:val="000000"/>
        </w:rPr>
        <w:t xml:space="preserve">  The House </w:t>
      </w:r>
      <w:r w:rsidRPr="00F8331B">
        <w:rPr>
          <w:color w:val="000000"/>
        </w:rPr>
        <w:t>would need to pick up roughly 20 votes to override an all-but-certain veto from Gov. Paul LePage</w:t>
      </w:r>
      <w:r>
        <w:rPr>
          <w:color w:val="000000"/>
        </w:rPr>
        <w:t xml:space="preserve">.  </w:t>
      </w:r>
      <w:r w:rsidRPr="00F8331B">
        <w:rPr>
          <w:color w:val="000000"/>
        </w:rPr>
        <w:t>House lawmakers added language that would limit “lawfully present” immigrants to two years of General Assistance, the temporary assistance program that provides emergency vouchers for housing, heat, medicine and other basic necessities</w:t>
      </w:r>
      <w:r>
        <w:rPr>
          <w:color w:val="000000"/>
        </w:rPr>
        <w:t>.  This faces further votes.</w:t>
      </w:r>
    </w:p>
    <w:p w14:paraId="7E608C5C" w14:textId="3FBF4515" w:rsidR="00F8331B" w:rsidRPr="008B7430" w:rsidRDefault="00F8331B" w:rsidP="00F8331B">
      <w:pPr>
        <w:pStyle w:val="ListParagraph"/>
        <w:numPr>
          <w:ilvl w:val="1"/>
          <w:numId w:val="3"/>
        </w:numPr>
        <w:rPr>
          <w:color w:val="000000"/>
        </w:rPr>
      </w:pPr>
      <w:r>
        <w:rPr>
          <w:color w:val="000000"/>
        </w:rPr>
        <w:t xml:space="preserve">LD 526 </w:t>
      </w:r>
      <w:r w:rsidRPr="00F8331B">
        <w:rPr>
          <w:color w:val="000000"/>
        </w:rPr>
        <w:t xml:space="preserve">directs </w:t>
      </w:r>
      <w:r>
        <w:rPr>
          <w:color w:val="000000"/>
        </w:rPr>
        <w:t>DHHS</w:t>
      </w:r>
      <w:r w:rsidRPr="00F8331B">
        <w:rPr>
          <w:color w:val="000000"/>
        </w:rPr>
        <w:t xml:space="preserve"> to seek a waiver from the federal government to ban junk food purchases</w:t>
      </w:r>
      <w:r>
        <w:rPr>
          <w:color w:val="000000"/>
        </w:rPr>
        <w:t xml:space="preserve"> from SNAP.  </w:t>
      </w:r>
      <w:r w:rsidRPr="006C7E44">
        <w:rPr>
          <w:b/>
          <w:color w:val="000000"/>
        </w:rPr>
        <w:t xml:space="preserve">The </w:t>
      </w:r>
      <w:r w:rsidR="00A21796">
        <w:rPr>
          <w:b/>
          <w:color w:val="000000"/>
        </w:rPr>
        <w:t>chambers remained in non-concurrence on 6/23</w:t>
      </w:r>
      <w:r>
        <w:rPr>
          <w:color w:val="000000"/>
        </w:rPr>
        <w:t xml:space="preserve">.  </w:t>
      </w:r>
      <w:r w:rsidR="00A21796">
        <w:rPr>
          <w:color w:val="000000"/>
        </w:rPr>
        <w:t>The bill is dead.</w:t>
      </w:r>
    </w:p>
    <w:p w14:paraId="267A29B7" w14:textId="61083F5C" w:rsidR="007431D1" w:rsidRDefault="007431D1" w:rsidP="0060376C">
      <w:pPr>
        <w:spacing w:after="0" w:line="240" w:lineRule="auto"/>
        <w:rPr>
          <w:b/>
        </w:rPr>
      </w:pPr>
      <w:r w:rsidRPr="00727104">
        <w:rPr>
          <w:b/>
        </w:rPr>
        <w:t>Biennial Budget Proposal</w:t>
      </w:r>
      <w:r w:rsidR="00C53B7D">
        <w:rPr>
          <w:b/>
        </w:rPr>
        <w:t xml:space="preserve"> – Passed the House (105-42) and the Senate (31-4) on 6/16 and 6/17 (early morning) respectively</w:t>
      </w:r>
      <w:r w:rsidR="00F8331B">
        <w:rPr>
          <w:b/>
        </w:rPr>
        <w:t>.  There were 64 line-item vetoes from the Governor, all were overturn</w:t>
      </w:r>
      <w:r w:rsidR="003469F0">
        <w:rPr>
          <w:b/>
        </w:rPr>
        <w:t>ed by both the House and Senate on 6/19.  The Governor veto</w:t>
      </w:r>
      <w:r w:rsidR="00D93256">
        <w:rPr>
          <w:b/>
        </w:rPr>
        <w:t>ed the budget, and the veto was overturned by both the House and Senate.</w:t>
      </w:r>
    </w:p>
    <w:p w14:paraId="05A9F176" w14:textId="31A72604" w:rsidR="00C53B7D" w:rsidRDefault="00C53B7D" w:rsidP="0060376C">
      <w:pPr>
        <w:spacing w:after="0" w:line="240" w:lineRule="auto"/>
        <w:rPr>
          <w:b/>
        </w:rPr>
      </w:pPr>
      <w:r>
        <w:rPr>
          <w:b/>
        </w:rPr>
        <w:t>Highl</w:t>
      </w:r>
      <w:r w:rsidR="000C7679">
        <w:rPr>
          <w:b/>
        </w:rPr>
        <w:t>ights f</w:t>
      </w:r>
      <w:r>
        <w:rPr>
          <w:b/>
        </w:rPr>
        <w:t>rom MMA:</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24"/>
        <w:gridCol w:w="2896"/>
        <w:gridCol w:w="4220"/>
      </w:tblGrid>
      <w:tr w:rsidR="00C53B7D" w14:paraId="70B6AD11" w14:textId="77777777" w:rsidTr="00C53B7D">
        <w:trPr>
          <w:tblHeader/>
        </w:trPr>
        <w:tc>
          <w:tcPr>
            <w:tcW w:w="2224" w:type="dxa"/>
            <w:tcBorders>
              <w:top w:val="single" w:sz="8" w:space="0" w:color="auto"/>
              <w:left w:val="single" w:sz="8" w:space="0" w:color="auto"/>
              <w:bottom w:val="single" w:sz="8" w:space="0" w:color="auto"/>
              <w:right w:val="single" w:sz="8" w:space="0" w:color="auto"/>
            </w:tcBorders>
            <w:shd w:val="clear" w:color="auto" w:fill="D9D9D9"/>
            <w:tcMar>
              <w:top w:w="0" w:type="dxa"/>
              <w:left w:w="108" w:type="dxa"/>
              <w:bottom w:w="0" w:type="dxa"/>
              <w:right w:w="108" w:type="dxa"/>
            </w:tcMar>
            <w:hideMark/>
          </w:tcPr>
          <w:p w14:paraId="5F0B5D4F" w14:textId="77777777" w:rsidR="00C53B7D" w:rsidRDefault="00C53B7D">
            <w:pPr>
              <w:pStyle w:val="NormalWeb"/>
            </w:pPr>
            <w:r>
              <w:rPr>
                <w:b/>
                <w:bCs/>
                <w:sz w:val="20"/>
                <w:szCs w:val="20"/>
              </w:rPr>
              <w:t>Municipally-related Budget Line in Governor’s Proposed State Budget</w:t>
            </w:r>
            <w:r>
              <w:t xml:space="preserve"> </w:t>
            </w:r>
          </w:p>
        </w:tc>
        <w:tc>
          <w:tcPr>
            <w:tcW w:w="2896" w:type="dxa"/>
            <w:tcBorders>
              <w:top w:val="single" w:sz="8" w:space="0" w:color="auto"/>
              <w:left w:val="nil"/>
              <w:bottom w:val="single" w:sz="8" w:space="0" w:color="auto"/>
              <w:right w:val="single" w:sz="8" w:space="0" w:color="auto"/>
            </w:tcBorders>
            <w:shd w:val="clear" w:color="auto" w:fill="D9D9D9"/>
            <w:tcMar>
              <w:top w:w="0" w:type="dxa"/>
              <w:left w:w="108" w:type="dxa"/>
              <w:bottom w:w="0" w:type="dxa"/>
              <w:right w:w="108" w:type="dxa"/>
            </w:tcMar>
            <w:hideMark/>
          </w:tcPr>
          <w:p w14:paraId="52078155" w14:textId="77777777" w:rsidR="00C53B7D" w:rsidRDefault="00C53B7D">
            <w:pPr>
              <w:pStyle w:val="NormalWeb"/>
            </w:pPr>
            <w:r>
              <w:rPr>
                <w:sz w:val="20"/>
                <w:szCs w:val="20"/>
              </w:rPr>
              <w:t xml:space="preserve">           </w:t>
            </w:r>
            <w:r>
              <w:rPr>
                <w:b/>
                <w:bCs/>
                <w:sz w:val="20"/>
                <w:szCs w:val="20"/>
              </w:rPr>
              <w:t>Majority Report</w:t>
            </w:r>
          </w:p>
        </w:tc>
        <w:tc>
          <w:tcPr>
            <w:tcW w:w="4220" w:type="dxa"/>
            <w:tcBorders>
              <w:top w:val="single" w:sz="8" w:space="0" w:color="auto"/>
              <w:left w:val="nil"/>
              <w:bottom w:val="single" w:sz="8" w:space="0" w:color="auto"/>
              <w:right w:val="single" w:sz="8" w:space="0" w:color="auto"/>
            </w:tcBorders>
            <w:shd w:val="clear" w:color="auto" w:fill="D9D9D9"/>
            <w:tcMar>
              <w:top w:w="0" w:type="dxa"/>
              <w:left w:w="108" w:type="dxa"/>
              <w:bottom w:w="0" w:type="dxa"/>
              <w:right w:w="108" w:type="dxa"/>
            </w:tcMar>
            <w:hideMark/>
          </w:tcPr>
          <w:p w14:paraId="3E31BA27" w14:textId="45B6F7E1" w:rsidR="00C53B7D" w:rsidRDefault="00C53B7D">
            <w:pPr>
              <w:pStyle w:val="NormalWeb"/>
              <w:rPr>
                <w:b/>
                <w:bCs/>
                <w:sz w:val="20"/>
                <w:szCs w:val="20"/>
              </w:rPr>
            </w:pPr>
            <w:r>
              <w:rPr>
                <w:sz w:val="20"/>
                <w:szCs w:val="20"/>
              </w:rPr>
              <w:t xml:space="preserve">         </w:t>
            </w:r>
            <w:r>
              <w:rPr>
                <w:b/>
                <w:bCs/>
                <w:sz w:val="20"/>
                <w:szCs w:val="20"/>
              </w:rPr>
              <w:t>Leadership Amendment</w:t>
            </w:r>
          </w:p>
          <w:p w14:paraId="04F972D3" w14:textId="5FB24165" w:rsidR="00F8331B" w:rsidRPr="00F8331B" w:rsidRDefault="00C53B7D" w:rsidP="00F8331B">
            <w:pPr>
              <w:pStyle w:val="NormalWeb"/>
              <w:ind w:left="432"/>
              <w:rPr>
                <w:b/>
                <w:bCs/>
                <w:sz w:val="20"/>
                <w:szCs w:val="20"/>
              </w:rPr>
            </w:pPr>
            <w:r>
              <w:rPr>
                <w:b/>
                <w:bCs/>
                <w:sz w:val="20"/>
                <w:szCs w:val="20"/>
              </w:rPr>
              <w:t>Sent to the Governor on 6/17/15</w:t>
            </w:r>
          </w:p>
        </w:tc>
      </w:tr>
      <w:tr w:rsidR="00C53B7D" w14:paraId="40503FF8" w14:textId="77777777" w:rsidTr="00C53B7D">
        <w:tc>
          <w:tcPr>
            <w:tcW w:w="22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B1A49A8" w14:textId="77777777" w:rsidR="00C53B7D" w:rsidRPr="00C53B7D" w:rsidRDefault="00C53B7D">
            <w:pPr>
              <w:pStyle w:val="NormalWeb"/>
              <w:rPr>
                <w:sz w:val="22"/>
                <w:szCs w:val="22"/>
              </w:rPr>
            </w:pPr>
            <w:r w:rsidRPr="00C53B7D">
              <w:rPr>
                <w:b/>
                <w:bCs/>
                <w:sz w:val="22"/>
                <w:szCs w:val="22"/>
              </w:rPr>
              <w:t>Revenue Sharing:</w:t>
            </w:r>
            <w:r w:rsidRPr="00C53B7D">
              <w:rPr>
                <w:b/>
                <w:bCs/>
                <w:sz w:val="22"/>
                <w:szCs w:val="22"/>
              </w:rPr>
              <w:br/>
            </w:r>
            <w:r w:rsidRPr="00C53B7D">
              <w:rPr>
                <w:i/>
                <w:iCs/>
                <w:sz w:val="22"/>
                <w:szCs w:val="22"/>
              </w:rPr>
              <w:t>Proposed flat funding in FY 2016 and elimination in FY 2017 and thereafter.</w:t>
            </w:r>
          </w:p>
        </w:tc>
        <w:tc>
          <w:tcPr>
            <w:tcW w:w="2896" w:type="dxa"/>
            <w:tcBorders>
              <w:top w:val="nil"/>
              <w:left w:val="nil"/>
              <w:bottom w:val="single" w:sz="8" w:space="0" w:color="auto"/>
              <w:right w:val="single" w:sz="8" w:space="0" w:color="auto"/>
            </w:tcBorders>
            <w:tcMar>
              <w:top w:w="0" w:type="dxa"/>
              <w:left w:w="108" w:type="dxa"/>
              <w:bottom w:w="0" w:type="dxa"/>
              <w:right w:w="108" w:type="dxa"/>
            </w:tcMar>
            <w:hideMark/>
          </w:tcPr>
          <w:p w14:paraId="2A887BD6" w14:textId="77777777" w:rsidR="00C53B7D" w:rsidRPr="00C53B7D" w:rsidRDefault="00C53B7D">
            <w:pPr>
              <w:pStyle w:val="NormalWeb"/>
              <w:rPr>
                <w:sz w:val="22"/>
                <w:szCs w:val="22"/>
              </w:rPr>
            </w:pPr>
            <w:r w:rsidRPr="00C53B7D">
              <w:rPr>
                <w:sz w:val="22"/>
                <w:szCs w:val="22"/>
              </w:rPr>
              <w:t xml:space="preserve">Flat fund municipal revenue sharing at a fixed $62.5 million for both years of the biennium, without further amending the revenue sharing statute. </w:t>
            </w:r>
          </w:p>
        </w:tc>
        <w:tc>
          <w:tcPr>
            <w:tcW w:w="4220" w:type="dxa"/>
            <w:tcBorders>
              <w:top w:val="nil"/>
              <w:left w:val="nil"/>
              <w:bottom w:val="single" w:sz="8" w:space="0" w:color="auto"/>
              <w:right w:val="single" w:sz="8" w:space="0" w:color="auto"/>
            </w:tcBorders>
            <w:tcMar>
              <w:top w:w="0" w:type="dxa"/>
              <w:left w:w="108" w:type="dxa"/>
              <w:bottom w:w="0" w:type="dxa"/>
              <w:right w:w="108" w:type="dxa"/>
            </w:tcMar>
            <w:hideMark/>
          </w:tcPr>
          <w:p w14:paraId="5103975C" w14:textId="77777777" w:rsidR="00C53B7D" w:rsidRPr="00C53B7D" w:rsidRDefault="00C53B7D">
            <w:pPr>
              <w:pStyle w:val="NormalWeb"/>
              <w:rPr>
                <w:sz w:val="22"/>
                <w:szCs w:val="22"/>
              </w:rPr>
            </w:pPr>
            <w:r w:rsidRPr="00C53B7D">
              <w:rPr>
                <w:sz w:val="22"/>
                <w:szCs w:val="22"/>
              </w:rPr>
              <w:t>The leadership amendment revises the revenue sharing law for the next four fiscal years (FY 2016-FY 2019) to require the distribution to be 2% of state sales and income tax receipts, rather than 5% as required by law. The 5% requirement would allegedly kick back in during FY 2020 and thereafter. Under current projections, 2% of sales and income tax revenue would yield revenue sharing distributions of:</w:t>
            </w:r>
          </w:p>
          <w:p w14:paraId="11D27D5D" w14:textId="77777777" w:rsidR="00C53B7D" w:rsidRPr="00C53B7D" w:rsidRDefault="00C53B7D" w:rsidP="005C31DD">
            <w:pPr>
              <w:pStyle w:val="NormalWeb"/>
              <w:spacing w:before="0" w:beforeAutospacing="0" w:after="0" w:afterAutospacing="0"/>
              <w:contextualSpacing/>
              <w:rPr>
                <w:sz w:val="22"/>
                <w:szCs w:val="22"/>
              </w:rPr>
            </w:pPr>
            <w:r w:rsidRPr="00C53B7D">
              <w:rPr>
                <w:sz w:val="22"/>
                <w:szCs w:val="22"/>
              </w:rPr>
              <w:t>FY 2016  - $62.57 million</w:t>
            </w:r>
          </w:p>
          <w:p w14:paraId="53202390" w14:textId="77777777" w:rsidR="00C53B7D" w:rsidRPr="00C53B7D" w:rsidRDefault="00C53B7D" w:rsidP="005C31DD">
            <w:pPr>
              <w:pStyle w:val="NormalWeb"/>
              <w:spacing w:before="0" w:beforeAutospacing="0" w:after="0" w:afterAutospacing="0"/>
              <w:contextualSpacing/>
              <w:rPr>
                <w:sz w:val="22"/>
                <w:szCs w:val="22"/>
              </w:rPr>
            </w:pPr>
            <w:r w:rsidRPr="00C53B7D">
              <w:rPr>
                <w:sz w:val="22"/>
                <w:szCs w:val="22"/>
              </w:rPr>
              <w:t>FY 2017  - $62.07 million</w:t>
            </w:r>
          </w:p>
          <w:p w14:paraId="13012FCB" w14:textId="77777777" w:rsidR="00C53B7D" w:rsidRPr="00C53B7D" w:rsidRDefault="00C53B7D" w:rsidP="005C31DD">
            <w:pPr>
              <w:pStyle w:val="NormalWeb"/>
              <w:spacing w:before="0" w:beforeAutospacing="0" w:after="0" w:afterAutospacing="0"/>
              <w:contextualSpacing/>
              <w:rPr>
                <w:sz w:val="22"/>
                <w:szCs w:val="22"/>
              </w:rPr>
            </w:pPr>
            <w:r w:rsidRPr="00C53B7D">
              <w:rPr>
                <w:sz w:val="22"/>
                <w:szCs w:val="22"/>
              </w:rPr>
              <w:t xml:space="preserve">FY 2018  - $64.78 million       </w:t>
            </w:r>
          </w:p>
          <w:p w14:paraId="2F93487A" w14:textId="77777777" w:rsidR="00C53B7D" w:rsidRPr="00C53B7D" w:rsidRDefault="00C53B7D" w:rsidP="005C31DD">
            <w:pPr>
              <w:pStyle w:val="NormalWeb"/>
              <w:spacing w:before="0" w:beforeAutospacing="0" w:after="0" w:afterAutospacing="0"/>
              <w:contextualSpacing/>
              <w:rPr>
                <w:sz w:val="22"/>
                <w:szCs w:val="22"/>
              </w:rPr>
            </w:pPr>
            <w:r w:rsidRPr="00C53B7D">
              <w:rPr>
                <w:sz w:val="22"/>
                <w:szCs w:val="22"/>
              </w:rPr>
              <w:t>FY 2019  - $67.5   million</w:t>
            </w:r>
          </w:p>
        </w:tc>
      </w:tr>
      <w:tr w:rsidR="00C53B7D" w14:paraId="38B12DB0" w14:textId="77777777" w:rsidTr="00C53B7D">
        <w:tc>
          <w:tcPr>
            <w:tcW w:w="22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1B2EA27" w14:textId="77777777" w:rsidR="00C53B7D" w:rsidRPr="00C53B7D" w:rsidRDefault="00C53B7D">
            <w:pPr>
              <w:pStyle w:val="NormalWeb"/>
              <w:rPr>
                <w:sz w:val="22"/>
                <w:szCs w:val="22"/>
              </w:rPr>
            </w:pPr>
            <w:r w:rsidRPr="00C53B7D">
              <w:rPr>
                <w:b/>
                <w:bCs/>
                <w:sz w:val="22"/>
                <w:szCs w:val="22"/>
              </w:rPr>
              <w:t xml:space="preserve">Homestead Exemption: </w:t>
            </w:r>
            <w:r w:rsidRPr="00C53B7D">
              <w:rPr>
                <w:i/>
                <w:iCs/>
                <w:sz w:val="22"/>
                <w:szCs w:val="22"/>
              </w:rPr>
              <w:t>Proposed to double the current $10,000 exemption for homeowners 65 and older and repeal the homestead exemption for all other homeowners.</w:t>
            </w:r>
          </w:p>
        </w:tc>
        <w:tc>
          <w:tcPr>
            <w:tcW w:w="2896" w:type="dxa"/>
            <w:tcBorders>
              <w:top w:val="nil"/>
              <w:left w:val="nil"/>
              <w:bottom w:val="single" w:sz="8" w:space="0" w:color="auto"/>
              <w:right w:val="single" w:sz="8" w:space="0" w:color="auto"/>
            </w:tcBorders>
            <w:tcMar>
              <w:top w:w="0" w:type="dxa"/>
              <w:left w:w="108" w:type="dxa"/>
              <w:bottom w:w="0" w:type="dxa"/>
              <w:right w:w="108" w:type="dxa"/>
            </w:tcMar>
            <w:hideMark/>
          </w:tcPr>
          <w:p w14:paraId="27CDCAF0" w14:textId="77777777" w:rsidR="00C53B7D" w:rsidRPr="00C53B7D" w:rsidRDefault="00C53B7D">
            <w:pPr>
              <w:pStyle w:val="NormalWeb"/>
              <w:rPr>
                <w:sz w:val="22"/>
                <w:szCs w:val="22"/>
              </w:rPr>
            </w:pPr>
            <w:r w:rsidRPr="00C53B7D">
              <w:rPr>
                <w:sz w:val="22"/>
                <w:szCs w:val="22"/>
              </w:rPr>
              <w:t>Increase the value of the Homestead property tax exemption from $10,000 to $15,000 beginning April 1, 2016 for all homesteaders, providing 50% state reimbursement for lost tax revenue associated with the first $10,000 of the exemption and 100% reimbursement for the lost tax revenue for $5,000 of the exemption value. The 100% reimbursement would occur over the FY 2016-2017 biennium, but would thereafter drop back to $75% reimbursement for the $5,000 increment.</w:t>
            </w:r>
          </w:p>
        </w:tc>
        <w:tc>
          <w:tcPr>
            <w:tcW w:w="4220" w:type="dxa"/>
            <w:tcBorders>
              <w:top w:val="nil"/>
              <w:left w:val="nil"/>
              <w:bottom w:val="single" w:sz="8" w:space="0" w:color="auto"/>
              <w:right w:val="single" w:sz="8" w:space="0" w:color="auto"/>
            </w:tcBorders>
            <w:tcMar>
              <w:top w:w="0" w:type="dxa"/>
              <w:left w:w="108" w:type="dxa"/>
              <w:bottom w:w="0" w:type="dxa"/>
              <w:right w:w="108" w:type="dxa"/>
            </w:tcMar>
            <w:hideMark/>
          </w:tcPr>
          <w:p w14:paraId="1CEF1AD4" w14:textId="77777777" w:rsidR="00C53B7D" w:rsidRPr="00C53B7D" w:rsidRDefault="00C53B7D">
            <w:pPr>
              <w:pStyle w:val="NormalWeb"/>
              <w:rPr>
                <w:sz w:val="22"/>
                <w:szCs w:val="22"/>
              </w:rPr>
            </w:pPr>
            <w:r w:rsidRPr="00C53B7D">
              <w:rPr>
                <w:sz w:val="22"/>
                <w:szCs w:val="22"/>
              </w:rPr>
              <w:t xml:space="preserve"> Increase the value of the Homestead property tax exemption from $10,000 to $15,000 beginning April 1, 2016. For that year, the state reimbursement for the lost property tax revenue will remain at 50% for the $15,000 exemption. </w:t>
            </w:r>
          </w:p>
          <w:p w14:paraId="1BE4EEFD" w14:textId="77777777" w:rsidR="00C53B7D" w:rsidRPr="00C53B7D" w:rsidRDefault="00C53B7D">
            <w:pPr>
              <w:pStyle w:val="NormalWeb"/>
              <w:rPr>
                <w:sz w:val="22"/>
                <w:szCs w:val="22"/>
              </w:rPr>
            </w:pPr>
            <w:r w:rsidRPr="00C53B7D">
              <w:rPr>
                <w:sz w:val="22"/>
                <w:szCs w:val="22"/>
              </w:rPr>
              <w:t xml:space="preserve">Increase the value of the Homestead exemption from $15,000 to $20,000 beginning April 1, 2017. For that year and subsequently, the state reimbursement for the lost property tax revenue will be 50% for the first $10,000 of the exemption and 75% for the second $10,000 of the exemption. </w:t>
            </w:r>
          </w:p>
        </w:tc>
      </w:tr>
      <w:tr w:rsidR="00C53B7D" w14:paraId="36DF35FA" w14:textId="77777777" w:rsidTr="00C53B7D">
        <w:trPr>
          <w:trHeight w:val="3194"/>
        </w:trPr>
        <w:tc>
          <w:tcPr>
            <w:tcW w:w="22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A759B78" w14:textId="77777777" w:rsidR="00C53B7D" w:rsidRPr="00C53B7D" w:rsidRDefault="00C53B7D">
            <w:pPr>
              <w:pStyle w:val="NormalWeb"/>
              <w:rPr>
                <w:sz w:val="22"/>
                <w:szCs w:val="22"/>
              </w:rPr>
            </w:pPr>
            <w:r w:rsidRPr="00C53B7D">
              <w:rPr>
                <w:b/>
                <w:bCs/>
                <w:sz w:val="22"/>
                <w:szCs w:val="22"/>
              </w:rPr>
              <w:t xml:space="preserve">General Assistance: </w:t>
            </w:r>
            <w:r w:rsidRPr="00C53B7D">
              <w:rPr>
                <w:i/>
                <w:iCs/>
                <w:sz w:val="22"/>
                <w:szCs w:val="22"/>
              </w:rPr>
              <w:t>Proposed changes to the GA reimbursement formula to marginally reduce the reimbursement rate for the “50%” municipalities and significantly reduce reimbursement for the cities qualifying for supplemental “90%” reimbursement for GA expenditures exceeding threshold levels.</w:t>
            </w:r>
          </w:p>
        </w:tc>
        <w:tc>
          <w:tcPr>
            <w:tcW w:w="2896" w:type="dxa"/>
            <w:tcBorders>
              <w:top w:val="nil"/>
              <w:left w:val="nil"/>
              <w:bottom w:val="single" w:sz="8" w:space="0" w:color="auto"/>
              <w:right w:val="single" w:sz="8" w:space="0" w:color="auto"/>
            </w:tcBorders>
            <w:tcMar>
              <w:top w:w="0" w:type="dxa"/>
              <w:left w:w="108" w:type="dxa"/>
              <w:bottom w:w="0" w:type="dxa"/>
              <w:right w:w="108" w:type="dxa"/>
            </w:tcMar>
            <w:hideMark/>
          </w:tcPr>
          <w:p w14:paraId="7CDA02F0" w14:textId="77777777" w:rsidR="00C53B7D" w:rsidRPr="00C53B7D" w:rsidRDefault="00C53B7D">
            <w:pPr>
              <w:pStyle w:val="NormalWeb"/>
              <w:rPr>
                <w:sz w:val="22"/>
                <w:szCs w:val="22"/>
              </w:rPr>
            </w:pPr>
            <w:r w:rsidRPr="00C53B7D">
              <w:rPr>
                <w:sz w:val="22"/>
                <w:szCs w:val="22"/>
              </w:rPr>
              <w:t> No changes to current GA reimbursement formula.</w:t>
            </w:r>
          </w:p>
        </w:tc>
        <w:tc>
          <w:tcPr>
            <w:tcW w:w="4220" w:type="dxa"/>
            <w:tcBorders>
              <w:top w:val="nil"/>
              <w:left w:val="nil"/>
              <w:bottom w:val="single" w:sz="8" w:space="0" w:color="auto"/>
              <w:right w:val="single" w:sz="8" w:space="0" w:color="auto"/>
            </w:tcBorders>
            <w:tcMar>
              <w:top w:w="0" w:type="dxa"/>
              <w:left w:w="108" w:type="dxa"/>
              <w:bottom w:w="0" w:type="dxa"/>
              <w:right w:w="108" w:type="dxa"/>
            </w:tcMar>
            <w:hideMark/>
          </w:tcPr>
          <w:p w14:paraId="52AFA1CE" w14:textId="77777777" w:rsidR="00C53B7D" w:rsidRPr="00C53B7D" w:rsidRDefault="00C53B7D">
            <w:pPr>
              <w:pStyle w:val="NormalWeb"/>
              <w:rPr>
                <w:sz w:val="22"/>
                <w:szCs w:val="22"/>
              </w:rPr>
            </w:pPr>
            <w:r w:rsidRPr="00C53B7D">
              <w:rPr>
                <w:sz w:val="22"/>
                <w:szCs w:val="22"/>
              </w:rPr>
              <w:t xml:space="preserve">Beginning July 1, 2015, changes the GA reimbursement formula to provide all municipalities with 70% reimbursement for General Assistance benefits issued.  The vast majority of municipalities will experience an increase in reimbursement from 50% to 70%. Several of Maine’s service center communities will experience a decrease in reimbursement because of the repeal of the 90% reimbursement formula that applies under current law to GA expenditures exceeding a certain percentage of the municipality’s state valuation. </w:t>
            </w:r>
          </w:p>
        </w:tc>
      </w:tr>
      <w:tr w:rsidR="00C53B7D" w14:paraId="1F9ABDCB" w14:textId="77777777" w:rsidTr="00C53B7D">
        <w:tc>
          <w:tcPr>
            <w:tcW w:w="22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C267F01" w14:textId="77777777" w:rsidR="00C53B7D" w:rsidRPr="00C53B7D" w:rsidRDefault="00C53B7D">
            <w:pPr>
              <w:pStyle w:val="NormalWeb"/>
              <w:rPr>
                <w:sz w:val="22"/>
                <w:szCs w:val="22"/>
              </w:rPr>
            </w:pPr>
            <w:r w:rsidRPr="00C53B7D">
              <w:rPr>
                <w:b/>
                <w:bCs/>
                <w:sz w:val="22"/>
                <w:szCs w:val="22"/>
              </w:rPr>
              <w:t xml:space="preserve">General Assistance: </w:t>
            </w:r>
            <w:r w:rsidRPr="00C53B7D">
              <w:rPr>
                <w:i/>
                <w:iCs/>
                <w:sz w:val="22"/>
                <w:szCs w:val="22"/>
              </w:rPr>
              <w:t>Proposed change to disqualify certain non U.S. citizens from receiving GA benefits, including people in the U.S. in violation of federal law as well as non U.S. citizens waiting for determinations of asylee or refugee status unless especially “qualified” under federal statute. </w:t>
            </w:r>
            <w:r w:rsidRPr="00C53B7D">
              <w:rPr>
                <w:sz w:val="22"/>
                <w:szCs w:val="22"/>
              </w:rPr>
              <w:t> </w:t>
            </w:r>
          </w:p>
        </w:tc>
        <w:tc>
          <w:tcPr>
            <w:tcW w:w="2896" w:type="dxa"/>
            <w:tcBorders>
              <w:top w:val="nil"/>
              <w:left w:val="nil"/>
              <w:bottom w:val="single" w:sz="8" w:space="0" w:color="auto"/>
              <w:right w:val="single" w:sz="8" w:space="0" w:color="auto"/>
            </w:tcBorders>
            <w:tcMar>
              <w:top w:w="0" w:type="dxa"/>
              <w:left w:w="108" w:type="dxa"/>
              <w:bottom w:w="0" w:type="dxa"/>
              <w:right w:w="108" w:type="dxa"/>
            </w:tcMar>
          </w:tcPr>
          <w:p w14:paraId="5BE31244" w14:textId="77777777" w:rsidR="00C53B7D" w:rsidRPr="00C53B7D" w:rsidRDefault="00C53B7D">
            <w:pPr>
              <w:spacing w:after="240"/>
            </w:pPr>
          </w:p>
          <w:p w14:paraId="3140B0CB" w14:textId="77777777" w:rsidR="00C53B7D" w:rsidRPr="00C53B7D" w:rsidRDefault="00C53B7D">
            <w:pPr>
              <w:pStyle w:val="NormalWeb"/>
              <w:rPr>
                <w:sz w:val="22"/>
                <w:szCs w:val="22"/>
              </w:rPr>
            </w:pPr>
            <w:r w:rsidRPr="00C53B7D">
              <w:rPr>
                <w:sz w:val="22"/>
                <w:szCs w:val="22"/>
              </w:rPr>
              <w:t>No changes to current law regarding eligibility.</w:t>
            </w:r>
          </w:p>
        </w:tc>
        <w:tc>
          <w:tcPr>
            <w:tcW w:w="4220" w:type="dxa"/>
            <w:tcBorders>
              <w:top w:val="nil"/>
              <w:left w:val="nil"/>
              <w:bottom w:val="single" w:sz="8" w:space="0" w:color="auto"/>
              <w:right w:val="single" w:sz="8" w:space="0" w:color="auto"/>
            </w:tcBorders>
            <w:tcMar>
              <w:top w:w="0" w:type="dxa"/>
              <w:left w:w="108" w:type="dxa"/>
              <w:bottom w:w="0" w:type="dxa"/>
              <w:right w:w="108" w:type="dxa"/>
            </w:tcMar>
            <w:hideMark/>
          </w:tcPr>
          <w:p w14:paraId="19CB196A" w14:textId="77777777" w:rsidR="00C53B7D" w:rsidRPr="00C53B7D" w:rsidRDefault="00C53B7D">
            <w:pPr>
              <w:pStyle w:val="NormalWeb"/>
              <w:rPr>
                <w:sz w:val="22"/>
                <w:szCs w:val="22"/>
              </w:rPr>
            </w:pPr>
            <w:r w:rsidRPr="00C53B7D">
              <w:rPr>
                <w:sz w:val="22"/>
                <w:szCs w:val="22"/>
              </w:rPr>
              <w:t xml:space="preserve">The leadership amendment includes language governing the eligibility of non U.S. citizens seeking asylum status with respect to food stamps, TANF and supplemental security income, generally authorizing benefits for a maximum 240 day period. There is no language in the leadership amendment, however, regarding those applicants and the General Assistance program. </w:t>
            </w:r>
          </w:p>
        </w:tc>
      </w:tr>
      <w:tr w:rsidR="00C53B7D" w14:paraId="25987421" w14:textId="77777777" w:rsidTr="00C53B7D">
        <w:tc>
          <w:tcPr>
            <w:tcW w:w="22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E6FD6C3" w14:textId="77777777" w:rsidR="00C53B7D" w:rsidRPr="00C53B7D" w:rsidRDefault="00C53B7D">
            <w:pPr>
              <w:pStyle w:val="NormalWeb"/>
              <w:rPr>
                <w:sz w:val="22"/>
                <w:szCs w:val="22"/>
              </w:rPr>
            </w:pPr>
            <w:r w:rsidRPr="00C53B7D">
              <w:rPr>
                <w:b/>
                <w:bCs/>
                <w:sz w:val="22"/>
                <w:szCs w:val="22"/>
              </w:rPr>
              <w:t xml:space="preserve">Tax Reform – Sales Tax Changes: </w:t>
            </w:r>
            <w:r w:rsidRPr="00C53B7D">
              <w:rPr>
                <w:b/>
                <w:bCs/>
                <w:sz w:val="22"/>
                <w:szCs w:val="22"/>
              </w:rPr>
              <w:br/>
            </w:r>
            <w:r w:rsidRPr="00C53B7D">
              <w:rPr>
                <w:i/>
                <w:iCs/>
                <w:sz w:val="22"/>
                <w:szCs w:val="22"/>
              </w:rPr>
              <w:t>Proposed significant expansion of the sales tax base to include a range of services that are not currently subject to the sales tax, as well as increases to the general sales tax rate.</w:t>
            </w:r>
            <w:r w:rsidRPr="00C53B7D">
              <w:rPr>
                <w:sz w:val="22"/>
                <w:szCs w:val="22"/>
              </w:rPr>
              <w:t xml:space="preserve"> </w:t>
            </w:r>
          </w:p>
        </w:tc>
        <w:tc>
          <w:tcPr>
            <w:tcW w:w="2896" w:type="dxa"/>
            <w:tcBorders>
              <w:top w:val="nil"/>
              <w:left w:val="nil"/>
              <w:bottom w:val="single" w:sz="8" w:space="0" w:color="auto"/>
              <w:right w:val="single" w:sz="8" w:space="0" w:color="auto"/>
            </w:tcBorders>
            <w:tcMar>
              <w:top w:w="0" w:type="dxa"/>
              <w:left w:w="108" w:type="dxa"/>
              <w:bottom w:w="0" w:type="dxa"/>
              <w:right w:w="108" w:type="dxa"/>
            </w:tcMar>
            <w:hideMark/>
          </w:tcPr>
          <w:p w14:paraId="738EAB49" w14:textId="77777777" w:rsidR="00C53B7D" w:rsidRPr="00C53B7D" w:rsidRDefault="00C53B7D">
            <w:pPr>
              <w:pStyle w:val="NormalWeb"/>
              <w:rPr>
                <w:sz w:val="22"/>
                <w:szCs w:val="22"/>
              </w:rPr>
            </w:pPr>
            <w:r w:rsidRPr="00C53B7D">
              <w:rPr>
                <w:sz w:val="22"/>
                <w:szCs w:val="22"/>
              </w:rPr>
              <w:t xml:space="preserve">Proposes only one change to the sales tax law that would otherwise be in effect on July 1, 2015.  Specifically, the majority report would implement no expansion of the sales tax base and would also allow the temporarily increased tax rate on general retail sales to sunset back from 5.5% to 5%. The majority report retains the meals and lodging sales tax rate at 8% rather than allowing it to sunset to 7% on July 1. </w:t>
            </w:r>
          </w:p>
        </w:tc>
        <w:tc>
          <w:tcPr>
            <w:tcW w:w="4220" w:type="dxa"/>
            <w:tcBorders>
              <w:top w:val="nil"/>
              <w:left w:val="nil"/>
              <w:bottom w:val="single" w:sz="8" w:space="0" w:color="auto"/>
              <w:right w:val="single" w:sz="8" w:space="0" w:color="auto"/>
            </w:tcBorders>
            <w:tcMar>
              <w:top w:w="0" w:type="dxa"/>
              <w:left w:w="108" w:type="dxa"/>
              <w:bottom w:w="0" w:type="dxa"/>
              <w:right w:w="108" w:type="dxa"/>
            </w:tcMar>
            <w:hideMark/>
          </w:tcPr>
          <w:p w14:paraId="434E156B" w14:textId="77777777" w:rsidR="00C53B7D" w:rsidRPr="00C53B7D" w:rsidRDefault="00C53B7D">
            <w:pPr>
              <w:pStyle w:val="NormalWeb"/>
              <w:rPr>
                <w:sz w:val="22"/>
                <w:szCs w:val="22"/>
              </w:rPr>
            </w:pPr>
            <w:r w:rsidRPr="00C53B7D">
              <w:rPr>
                <w:sz w:val="22"/>
                <w:szCs w:val="22"/>
              </w:rPr>
              <w:t xml:space="preserve">Retains the current tax rate on general sales (5.5%) rather than letting it sunset to 5%. Also retains the current tax rate on meals served in restaurants at 8% rather than letting it sunset to 7%. Increases the sales tax rate on lodging from the current rate of 8% to 9%. No significant expansion of the sales tax base, but modifies the statutory definition of “prepared foods” for sales tax purposes. </w:t>
            </w:r>
          </w:p>
        </w:tc>
      </w:tr>
      <w:tr w:rsidR="00C53B7D" w14:paraId="2DE71389" w14:textId="77777777" w:rsidTr="00C53B7D">
        <w:tc>
          <w:tcPr>
            <w:tcW w:w="22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4ABC9B0" w14:textId="77777777" w:rsidR="00C53B7D" w:rsidRPr="00C53B7D" w:rsidRDefault="00C53B7D">
            <w:pPr>
              <w:pStyle w:val="NormalWeb"/>
              <w:rPr>
                <w:sz w:val="22"/>
                <w:szCs w:val="22"/>
              </w:rPr>
            </w:pPr>
            <w:r w:rsidRPr="00C53B7D">
              <w:rPr>
                <w:b/>
                <w:bCs/>
                <w:sz w:val="22"/>
                <w:szCs w:val="22"/>
              </w:rPr>
              <w:t>Tax Reform – Individual Income Tax Changes:</w:t>
            </w:r>
            <w:r w:rsidRPr="00C53B7D">
              <w:rPr>
                <w:sz w:val="22"/>
                <w:szCs w:val="22"/>
              </w:rPr>
              <w:t xml:space="preserve"> Proposed a four-year phase-down of the top income tax rate from 7.95% to 5.75%, removed a number of personal income tax deductions and credits.</w:t>
            </w:r>
          </w:p>
        </w:tc>
        <w:tc>
          <w:tcPr>
            <w:tcW w:w="2896" w:type="dxa"/>
            <w:tcBorders>
              <w:top w:val="nil"/>
              <w:left w:val="nil"/>
              <w:bottom w:val="single" w:sz="8" w:space="0" w:color="auto"/>
              <w:right w:val="single" w:sz="8" w:space="0" w:color="auto"/>
            </w:tcBorders>
            <w:tcMar>
              <w:top w:w="0" w:type="dxa"/>
              <w:left w:w="108" w:type="dxa"/>
              <w:bottom w:w="0" w:type="dxa"/>
              <w:right w:w="108" w:type="dxa"/>
            </w:tcMar>
            <w:hideMark/>
          </w:tcPr>
          <w:p w14:paraId="2D654B84" w14:textId="77777777" w:rsidR="00C53B7D" w:rsidRPr="00C53B7D" w:rsidRDefault="00C53B7D">
            <w:pPr>
              <w:pStyle w:val="NormalWeb"/>
              <w:rPr>
                <w:sz w:val="22"/>
                <w:szCs w:val="22"/>
              </w:rPr>
            </w:pPr>
            <w:r w:rsidRPr="00C53B7D">
              <w:rPr>
                <w:sz w:val="22"/>
                <w:szCs w:val="22"/>
              </w:rPr>
              <w:t> </w:t>
            </w:r>
            <w:r w:rsidRPr="00C53B7D">
              <w:rPr>
                <w:sz w:val="22"/>
                <w:szCs w:val="22"/>
              </w:rPr>
              <w:br/>
              <w:t>No substantive changes to the individual income tax code except for bringing the exclusion value under Maine’s estate tax into conformity with the federal exclusion value.</w:t>
            </w:r>
          </w:p>
        </w:tc>
        <w:tc>
          <w:tcPr>
            <w:tcW w:w="4220" w:type="dxa"/>
            <w:tcBorders>
              <w:top w:val="nil"/>
              <w:left w:val="nil"/>
              <w:bottom w:val="single" w:sz="8" w:space="0" w:color="auto"/>
              <w:right w:val="single" w:sz="8" w:space="0" w:color="auto"/>
            </w:tcBorders>
            <w:tcMar>
              <w:top w:w="0" w:type="dxa"/>
              <w:left w:w="108" w:type="dxa"/>
              <w:bottom w:w="0" w:type="dxa"/>
              <w:right w:w="108" w:type="dxa"/>
            </w:tcMar>
            <w:hideMark/>
          </w:tcPr>
          <w:p w14:paraId="220ED3FB" w14:textId="77777777" w:rsidR="00C53B7D" w:rsidRPr="00C53B7D" w:rsidRDefault="00C53B7D">
            <w:pPr>
              <w:pStyle w:val="NormalWeb"/>
              <w:rPr>
                <w:sz w:val="22"/>
                <w:szCs w:val="22"/>
              </w:rPr>
            </w:pPr>
            <w:r w:rsidRPr="00C53B7D">
              <w:rPr>
                <w:sz w:val="22"/>
                <w:szCs w:val="22"/>
              </w:rPr>
              <w:t> </w:t>
            </w:r>
            <w:r w:rsidRPr="00C53B7D">
              <w:rPr>
                <w:sz w:val="22"/>
                <w:szCs w:val="22"/>
              </w:rPr>
              <w:br/>
              <w:t xml:space="preserve">Effects a two-year phase down of the top income tax rate from 7.95% to 7.15%, adjusts the bracketing system to apply an income tax rate to all adjusted gross income (i.e., removes the current “0%” bracket), increases the standard deduction and phases out the ability to utilize the standard deduction (or itemized deductions if applicable)  at higher income levels, establishes a “sales tax fairness credit” within the income tax code for lower-income tax filers to reflect the increases in sales tax exposure, brings the exclusion value under Maine’s estate tax into conformity with the federal exclusion value, exempts military pensions, other changes.  </w:t>
            </w:r>
          </w:p>
        </w:tc>
      </w:tr>
    </w:tbl>
    <w:p w14:paraId="3366B4F1" w14:textId="77777777" w:rsidR="00C53B7D" w:rsidRDefault="00C53B7D" w:rsidP="0060376C">
      <w:pPr>
        <w:spacing w:after="0" w:line="240" w:lineRule="auto"/>
        <w:rPr>
          <w:b/>
        </w:rPr>
      </w:pPr>
    </w:p>
    <w:p w14:paraId="63824EAA" w14:textId="46B5D0E6" w:rsidR="007708D0" w:rsidRPr="00C53B7D" w:rsidRDefault="007708D0" w:rsidP="00C53B7D">
      <w:pPr>
        <w:pStyle w:val="ListParagraph"/>
        <w:spacing w:after="0" w:line="240" w:lineRule="auto"/>
        <w:rPr>
          <w:rFonts w:eastAsia="Times New Roman"/>
        </w:rPr>
      </w:pPr>
      <w:bookmarkStart w:id="0" w:name="_GoBack"/>
      <w:bookmarkEnd w:id="0"/>
    </w:p>
    <w:sectPr w:rsidR="007708D0" w:rsidRPr="00C53B7D" w:rsidSect="00CB7EBB">
      <w:pgSz w:w="12240" w:h="15840"/>
      <w:pgMar w:top="63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244280"/>
    <w:multiLevelType w:val="hybridMultilevel"/>
    <w:tmpl w:val="61F439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B51ED8"/>
    <w:multiLevelType w:val="hybridMultilevel"/>
    <w:tmpl w:val="296212E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6"/>
  </w:num>
  <w:num w:numId="2">
    <w:abstractNumId w:val="7"/>
  </w:num>
  <w:num w:numId="3">
    <w:abstractNumId w:val="0"/>
  </w:num>
  <w:num w:numId="4">
    <w:abstractNumId w:val="12"/>
  </w:num>
  <w:num w:numId="5">
    <w:abstractNumId w:val="5"/>
  </w:num>
  <w:num w:numId="6">
    <w:abstractNumId w:val="9"/>
  </w:num>
  <w:num w:numId="7">
    <w:abstractNumId w:val="2"/>
  </w:num>
  <w:num w:numId="8">
    <w:abstractNumId w:val="6"/>
  </w:num>
  <w:num w:numId="9">
    <w:abstractNumId w:val="6"/>
  </w:num>
  <w:num w:numId="10">
    <w:abstractNumId w:val="0"/>
  </w:num>
  <w:num w:numId="11">
    <w:abstractNumId w:val="4"/>
  </w:num>
  <w:num w:numId="12">
    <w:abstractNumId w:val="3"/>
  </w:num>
  <w:num w:numId="13">
    <w:abstractNumId w:val="11"/>
  </w:num>
  <w:num w:numId="14">
    <w:abstractNumId w:val="8"/>
  </w:num>
  <w:num w:numId="15">
    <w:abstractNumId w:val="1"/>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9244D"/>
    <w:rsid w:val="000C18A9"/>
    <w:rsid w:val="000C7679"/>
    <w:rsid w:val="0010738A"/>
    <w:rsid w:val="00110774"/>
    <w:rsid w:val="00113840"/>
    <w:rsid w:val="00130B06"/>
    <w:rsid w:val="00140153"/>
    <w:rsid w:val="00147577"/>
    <w:rsid w:val="0015605F"/>
    <w:rsid w:val="00185BE1"/>
    <w:rsid w:val="00190A4E"/>
    <w:rsid w:val="001B222B"/>
    <w:rsid w:val="001E7103"/>
    <w:rsid w:val="001E7362"/>
    <w:rsid w:val="0020415A"/>
    <w:rsid w:val="0021758F"/>
    <w:rsid w:val="002277D9"/>
    <w:rsid w:val="00276DE9"/>
    <w:rsid w:val="0028453D"/>
    <w:rsid w:val="002A2047"/>
    <w:rsid w:val="002C4F95"/>
    <w:rsid w:val="002D31C3"/>
    <w:rsid w:val="002D6E2C"/>
    <w:rsid w:val="00300891"/>
    <w:rsid w:val="00305DCA"/>
    <w:rsid w:val="00336782"/>
    <w:rsid w:val="003469F0"/>
    <w:rsid w:val="00346D90"/>
    <w:rsid w:val="00361EDF"/>
    <w:rsid w:val="003721CA"/>
    <w:rsid w:val="00372EE9"/>
    <w:rsid w:val="00381B49"/>
    <w:rsid w:val="003B1E47"/>
    <w:rsid w:val="003D177E"/>
    <w:rsid w:val="003E5A86"/>
    <w:rsid w:val="0040098C"/>
    <w:rsid w:val="00403F49"/>
    <w:rsid w:val="004045CF"/>
    <w:rsid w:val="00422527"/>
    <w:rsid w:val="00425B97"/>
    <w:rsid w:val="00444D3B"/>
    <w:rsid w:val="0045428D"/>
    <w:rsid w:val="00475AB4"/>
    <w:rsid w:val="00482F90"/>
    <w:rsid w:val="004A3EDB"/>
    <w:rsid w:val="004A4304"/>
    <w:rsid w:val="004F702F"/>
    <w:rsid w:val="00532AE2"/>
    <w:rsid w:val="0053646B"/>
    <w:rsid w:val="00537434"/>
    <w:rsid w:val="00555AD6"/>
    <w:rsid w:val="005666D1"/>
    <w:rsid w:val="00576F86"/>
    <w:rsid w:val="00594E45"/>
    <w:rsid w:val="00596C76"/>
    <w:rsid w:val="005C31DD"/>
    <w:rsid w:val="005D5A3C"/>
    <w:rsid w:val="005F1241"/>
    <w:rsid w:val="0060376C"/>
    <w:rsid w:val="00605C81"/>
    <w:rsid w:val="00641199"/>
    <w:rsid w:val="0065179D"/>
    <w:rsid w:val="00653A3A"/>
    <w:rsid w:val="006773D2"/>
    <w:rsid w:val="00684614"/>
    <w:rsid w:val="00695C78"/>
    <w:rsid w:val="006B23B8"/>
    <w:rsid w:val="006B5D94"/>
    <w:rsid w:val="006B7C7C"/>
    <w:rsid w:val="006C7E44"/>
    <w:rsid w:val="006E2913"/>
    <w:rsid w:val="006E713D"/>
    <w:rsid w:val="006F0AB5"/>
    <w:rsid w:val="006F128F"/>
    <w:rsid w:val="00722AE1"/>
    <w:rsid w:val="007431D1"/>
    <w:rsid w:val="00762B4F"/>
    <w:rsid w:val="007708D0"/>
    <w:rsid w:val="00775479"/>
    <w:rsid w:val="00777BAA"/>
    <w:rsid w:val="00791B8A"/>
    <w:rsid w:val="007977A4"/>
    <w:rsid w:val="007F2E77"/>
    <w:rsid w:val="007F32E6"/>
    <w:rsid w:val="007F5A4E"/>
    <w:rsid w:val="00802A81"/>
    <w:rsid w:val="00805BEE"/>
    <w:rsid w:val="00805F9E"/>
    <w:rsid w:val="00826026"/>
    <w:rsid w:val="0085696C"/>
    <w:rsid w:val="00863341"/>
    <w:rsid w:val="00875B8F"/>
    <w:rsid w:val="008915DE"/>
    <w:rsid w:val="00891D15"/>
    <w:rsid w:val="008B139A"/>
    <w:rsid w:val="008B7430"/>
    <w:rsid w:val="008E4A83"/>
    <w:rsid w:val="009046BF"/>
    <w:rsid w:val="009673FF"/>
    <w:rsid w:val="0097186E"/>
    <w:rsid w:val="00986C9D"/>
    <w:rsid w:val="009F7C57"/>
    <w:rsid w:val="00A12C9B"/>
    <w:rsid w:val="00A21796"/>
    <w:rsid w:val="00A437FC"/>
    <w:rsid w:val="00A606B4"/>
    <w:rsid w:val="00A62CE2"/>
    <w:rsid w:val="00A73A3B"/>
    <w:rsid w:val="00A7402E"/>
    <w:rsid w:val="00A8289C"/>
    <w:rsid w:val="00AC1C66"/>
    <w:rsid w:val="00AC5698"/>
    <w:rsid w:val="00AF1511"/>
    <w:rsid w:val="00B74C45"/>
    <w:rsid w:val="00BC085C"/>
    <w:rsid w:val="00BC200D"/>
    <w:rsid w:val="00BC502B"/>
    <w:rsid w:val="00BD12B6"/>
    <w:rsid w:val="00C04ADD"/>
    <w:rsid w:val="00C067D7"/>
    <w:rsid w:val="00C1247A"/>
    <w:rsid w:val="00C35BF9"/>
    <w:rsid w:val="00C42FF4"/>
    <w:rsid w:val="00C51094"/>
    <w:rsid w:val="00C53B7D"/>
    <w:rsid w:val="00C720EE"/>
    <w:rsid w:val="00C811EA"/>
    <w:rsid w:val="00CB7EBB"/>
    <w:rsid w:val="00D355FB"/>
    <w:rsid w:val="00D71FF4"/>
    <w:rsid w:val="00D74B5D"/>
    <w:rsid w:val="00D75C5C"/>
    <w:rsid w:val="00D77285"/>
    <w:rsid w:val="00D8741C"/>
    <w:rsid w:val="00D93256"/>
    <w:rsid w:val="00DC655D"/>
    <w:rsid w:val="00DE6B53"/>
    <w:rsid w:val="00E00C5F"/>
    <w:rsid w:val="00E63451"/>
    <w:rsid w:val="00E63A58"/>
    <w:rsid w:val="00E66A44"/>
    <w:rsid w:val="00E81F87"/>
    <w:rsid w:val="00E9055C"/>
    <w:rsid w:val="00E9722D"/>
    <w:rsid w:val="00EC3639"/>
    <w:rsid w:val="00EE5864"/>
    <w:rsid w:val="00EF3720"/>
    <w:rsid w:val="00EF53AC"/>
    <w:rsid w:val="00EF6B20"/>
    <w:rsid w:val="00F53290"/>
    <w:rsid w:val="00F61F4D"/>
    <w:rsid w:val="00F76C7A"/>
    <w:rsid w:val="00F76DA0"/>
    <w:rsid w:val="00F7733C"/>
    <w:rsid w:val="00F8331B"/>
    <w:rsid w:val="00F9152F"/>
    <w:rsid w:val="00FA18C2"/>
    <w:rsid w:val="00FE3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2" ma:contentTypeDescription="Create a new document." ma:contentTypeScope="" ma:versionID="bd7135242c2819c4176039b66e784c68">
  <xsd:schema xmlns:xsd="http://www.w3.org/2001/XMLSchema" xmlns:xs="http://www.w3.org/2001/XMLSchema" xmlns:p="http://schemas.microsoft.com/office/2006/metadata/properties" xmlns:ns2="293fe13a-4a1e-4596-9e46-0d8ff05c5593" targetNamespace="http://schemas.microsoft.com/office/2006/metadata/properties" ma:root="true" ma:fieldsID="b83b2907eafd18bd1f121639ae162df8" ns2:_="">
    <xsd:import namespace="293fe13a-4a1e-4596-9e46-0d8ff05c5593"/>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8BADB72-7556-459F-A1C9-A9CA66F49B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A8EFAC-3407-46C5-89A1-82A6A6EE34A2}">
  <ds:schemaRefs>
    <ds:schemaRef ds:uri="http://purl.org/dc/dcmitype/"/>
    <ds:schemaRef ds:uri="http://www.w3.org/XML/1998/namespace"/>
    <ds:schemaRef ds:uri="http://schemas.microsoft.com/office/2006/documentManagement/types"/>
    <ds:schemaRef ds:uri="http://purl.org/dc/terms/"/>
    <ds:schemaRef ds:uri="http://schemas.microsoft.com/office/infopath/2007/PartnerControls"/>
    <ds:schemaRef ds:uri="293fe13a-4a1e-4596-9e46-0d8ff05c5593"/>
    <ds:schemaRef ds:uri="http://schemas.microsoft.com/office/2006/metadata/properties"/>
    <ds:schemaRef ds:uri="http://schemas.openxmlformats.org/package/2006/metadata/core-properties"/>
    <ds:schemaRef ds:uri="http://purl.org/dc/elements/1.1/"/>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5</Pages>
  <Words>2193</Words>
  <Characters>12505</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13</cp:revision>
  <cp:lastPrinted>2015-07-06T16:00:00Z</cp:lastPrinted>
  <dcterms:created xsi:type="dcterms:W3CDTF">2015-06-24T13:19:00Z</dcterms:created>
  <dcterms:modified xsi:type="dcterms:W3CDTF">2015-07-07T13:05:00Z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