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00F44193" w:rsidR="00CF6D3A" w:rsidRPr="00F76CBA" w:rsidRDefault="00D63538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4CC5686F" w:rsidR="00C0243F" w:rsidRDefault="00823FBC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Tuesday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AE4F44">
              <w:rPr>
                <w:rFonts w:ascii="Arial" w:hAnsi="Arial" w:cs="Arial"/>
                <w:sz w:val="28"/>
                <w:szCs w:val="24"/>
              </w:rPr>
              <w:t>September 16</w:t>
            </w:r>
            <w:r w:rsidR="00AF3430">
              <w:rPr>
                <w:rFonts w:ascii="Arial" w:hAnsi="Arial" w:cs="Arial"/>
                <w:sz w:val="28"/>
                <w:szCs w:val="24"/>
              </w:rPr>
              <w:t>, 2014 4:00P</w:t>
            </w:r>
            <w:r w:rsidR="00C0243F">
              <w:rPr>
                <w:rFonts w:ascii="Arial" w:hAnsi="Arial" w:cs="Arial"/>
                <w:sz w:val="28"/>
                <w:szCs w:val="24"/>
              </w:rPr>
              <w:t>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1"/>
        <w:gridCol w:w="1959"/>
      </w:tblGrid>
      <w:tr w:rsidR="00C0243F" w:rsidRPr="00CB7201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03D5ECDA" w14:textId="77777777" w:rsidR="00D85402" w:rsidRPr="00CB7201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  <w:gridCol w:w="1955"/>
      </w:tblGrid>
      <w:tr w:rsidR="00C0243F" w:rsidRPr="00CB7201" w14:paraId="60A6B537" w14:textId="77777777" w:rsidTr="00C0243F">
        <w:trPr>
          <w:trHeight w:val="953"/>
        </w:trPr>
        <w:tc>
          <w:tcPr>
            <w:tcW w:w="8928" w:type="dxa"/>
          </w:tcPr>
          <w:p w14:paraId="40EC1C3F" w14:textId="5E30FB72" w:rsidR="00C0243F" w:rsidRPr="00CB7201" w:rsidRDefault="00C0243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Welcome/Introductions/Attendance</w:t>
            </w:r>
          </w:p>
          <w:p w14:paraId="3D046771" w14:textId="48DBB538" w:rsidR="00C0243F" w:rsidRPr="00CB7201" w:rsidRDefault="00DA190E" w:rsidP="002C5476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Attendance:  </w:t>
            </w:r>
            <w:r w:rsidR="00CB7201" w:rsidRPr="00CB7201">
              <w:rPr>
                <w:sz w:val="24"/>
                <w:szCs w:val="24"/>
              </w:rPr>
              <w:t xml:space="preserve">Cullen Ryan, Vickey Rand, Ginny Dill, </w:t>
            </w:r>
            <w:r w:rsidR="002C5476">
              <w:rPr>
                <w:sz w:val="24"/>
                <w:szCs w:val="24"/>
              </w:rPr>
              <w:t>Chet Barnes</w:t>
            </w:r>
            <w:r w:rsidR="00CB7201" w:rsidRPr="00CB7201">
              <w:rPr>
                <w:sz w:val="24"/>
                <w:szCs w:val="24"/>
              </w:rPr>
              <w:t xml:space="preserve">, </w:t>
            </w:r>
            <w:r w:rsidR="00D41B51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Awa Conteh</w:t>
            </w:r>
            <w:r w:rsidR="00D41B51">
              <w:rPr>
                <w:sz w:val="24"/>
                <w:szCs w:val="24"/>
              </w:rPr>
              <w:t xml:space="preserve">.  Unable to attend:  </w:t>
            </w:r>
            <w:r w:rsidR="002C5476" w:rsidRPr="00CB7201">
              <w:rPr>
                <w:sz w:val="24"/>
                <w:szCs w:val="24"/>
              </w:rPr>
              <w:t>Heather Rhoda</w:t>
            </w:r>
            <w:r w:rsidR="002C5476">
              <w:rPr>
                <w:sz w:val="24"/>
                <w:szCs w:val="24"/>
              </w:rPr>
              <w:t xml:space="preserve"> </w:t>
            </w:r>
            <w:r w:rsidR="00D41B51">
              <w:rPr>
                <w:sz w:val="24"/>
                <w:szCs w:val="24"/>
              </w:rPr>
              <w:t>and Donna Kelley</w:t>
            </w:r>
          </w:p>
        </w:tc>
        <w:tc>
          <w:tcPr>
            <w:tcW w:w="1980" w:type="dxa"/>
          </w:tcPr>
          <w:p w14:paraId="6D01299F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>Group</w:t>
            </w:r>
          </w:p>
        </w:tc>
      </w:tr>
    </w:tbl>
    <w:p w14:paraId="141A3600" w14:textId="77777777" w:rsidR="007F7180" w:rsidRPr="00CB7201" w:rsidRDefault="007F7180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5EFB09B1" w14:textId="77777777" w:rsidTr="00577967">
        <w:trPr>
          <w:trHeight w:val="548"/>
        </w:trPr>
        <w:tc>
          <w:tcPr>
            <w:tcW w:w="8928" w:type="dxa"/>
          </w:tcPr>
          <w:p w14:paraId="44AB2AA0" w14:textId="7752C1BA" w:rsidR="00CB7201" w:rsidRPr="00CB7201" w:rsidRDefault="00CB7201" w:rsidP="00595B30">
            <w:pPr>
              <w:pStyle w:val="ListParagraph"/>
              <w:numPr>
                <w:ilvl w:val="0"/>
                <w:numId w:val="27"/>
              </w:numPr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State and Federal Legislation Updates and</w:t>
            </w:r>
            <w:r w:rsidR="00C0243F" w:rsidRPr="00CB7201">
              <w:rPr>
                <w:b/>
                <w:sz w:val="24"/>
                <w:szCs w:val="24"/>
              </w:rPr>
              <w:t xml:space="preserve"> Action Items</w:t>
            </w:r>
          </w:p>
          <w:p w14:paraId="4C9652D3" w14:textId="7CB62593" w:rsidR="00595B30" w:rsidRPr="00AF3430" w:rsidRDefault="00E95E7C" w:rsidP="00AF3430">
            <w:pPr>
              <w:ind w:left="6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refer to the previously forwarded report.  The highlights were reviewed.  </w:t>
            </w:r>
          </w:p>
        </w:tc>
        <w:tc>
          <w:tcPr>
            <w:tcW w:w="1980" w:type="dxa"/>
          </w:tcPr>
          <w:p w14:paraId="3DF444AA" w14:textId="6521A1AC" w:rsidR="00C0243F" w:rsidRPr="00CB7201" w:rsidRDefault="00F23062" w:rsidP="00F2306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E95E7C">
              <w:rPr>
                <w:sz w:val="24"/>
                <w:szCs w:val="24"/>
              </w:rPr>
              <w:t xml:space="preserve"> </w:t>
            </w:r>
          </w:p>
        </w:tc>
      </w:tr>
    </w:tbl>
    <w:p w14:paraId="5FAFC6A2" w14:textId="77777777" w:rsidR="00C0243F" w:rsidRPr="00CB7201" w:rsidRDefault="00C0243F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9"/>
        <w:gridCol w:w="1961"/>
      </w:tblGrid>
      <w:tr w:rsidR="00C0243F" w:rsidRPr="00CB7201" w14:paraId="7C8B9FF0" w14:textId="77777777" w:rsidTr="00C0243F">
        <w:trPr>
          <w:trHeight w:val="368"/>
        </w:trPr>
        <w:tc>
          <w:tcPr>
            <w:tcW w:w="8928" w:type="dxa"/>
          </w:tcPr>
          <w:p w14:paraId="7F360DA1" w14:textId="46A1F114" w:rsidR="00C0243F" w:rsidRDefault="00E95E7C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14:paraId="31DDAA2D" w14:textId="027C1155" w:rsidR="002904A1" w:rsidRPr="002C5476" w:rsidRDefault="007C27A0" w:rsidP="002904A1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sz w:val="24"/>
                <w:szCs w:val="24"/>
              </w:rPr>
            </w:pPr>
            <w:r w:rsidRPr="002C5476">
              <w:rPr>
                <w:sz w:val="24"/>
                <w:szCs w:val="24"/>
              </w:rPr>
              <w:t xml:space="preserve">There was discussion regarding the </w:t>
            </w:r>
            <w:r w:rsidR="002904A1" w:rsidRPr="002C5476">
              <w:rPr>
                <w:sz w:val="24"/>
                <w:szCs w:val="24"/>
              </w:rPr>
              <w:t xml:space="preserve">“Zero: </w:t>
            </w:r>
            <w:r w:rsidRPr="002C5476">
              <w:rPr>
                <w:sz w:val="24"/>
                <w:szCs w:val="24"/>
              </w:rPr>
              <w:t>2016 campaign,</w:t>
            </w:r>
            <w:r w:rsidR="002904A1" w:rsidRPr="002C5476">
              <w:rPr>
                <w:sz w:val="24"/>
                <w:szCs w:val="24"/>
              </w:rPr>
              <w:t>”</w:t>
            </w:r>
            <w:r w:rsidRPr="002C5476">
              <w:rPr>
                <w:sz w:val="24"/>
                <w:szCs w:val="24"/>
              </w:rPr>
              <w:t xml:space="preserve"> the follow-up to the 100K Homes campaign.  The CoC tasked the Policy Committee with looking into </w:t>
            </w:r>
            <w:r w:rsidR="002C5476" w:rsidRPr="002C5476">
              <w:rPr>
                <w:sz w:val="24"/>
                <w:szCs w:val="24"/>
              </w:rPr>
              <w:t xml:space="preserve">the principles of the campaign and </w:t>
            </w:r>
            <w:r w:rsidRPr="002C5476">
              <w:rPr>
                <w:sz w:val="24"/>
                <w:szCs w:val="24"/>
              </w:rPr>
              <w:t xml:space="preserve">how Maine can adopt </w:t>
            </w:r>
            <w:r w:rsidR="002C5476" w:rsidRPr="002C5476">
              <w:rPr>
                <w:sz w:val="24"/>
                <w:szCs w:val="24"/>
              </w:rPr>
              <w:t xml:space="preserve">them </w:t>
            </w:r>
            <w:r w:rsidRPr="002C5476">
              <w:rPr>
                <w:sz w:val="24"/>
                <w:szCs w:val="24"/>
              </w:rPr>
              <w:t>without formally joining.  The highlights of the Zero: 2016 campaign were reviewed.  Next steps for the CoC</w:t>
            </w:r>
            <w:r w:rsidR="002904A1" w:rsidRPr="002C5476">
              <w:rPr>
                <w:sz w:val="24"/>
                <w:szCs w:val="24"/>
              </w:rPr>
              <w:t>:</w:t>
            </w:r>
          </w:p>
          <w:p w14:paraId="17202115" w14:textId="77777777" w:rsidR="002904A1" w:rsidRPr="002C5476" w:rsidRDefault="002904A1" w:rsidP="002904A1">
            <w:pPr>
              <w:pStyle w:val="ListParagraph"/>
              <w:numPr>
                <w:ilvl w:val="0"/>
                <w:numId w:val="31"/>
              </w:numPr>
              <w:spacing w:after="200"/>
              <w:rPr>
                <w:sz w:val="24"/>
                <w:szCs w:val="24"/>
              </w:rPr>
            </w:pPr>
            <w:r w:rsidRPr="002C5476">
              <w:rPr>
                <w:sz w:val="24"/>
                <w:szCs w:val="24"/>
              </w:rPr>
              <w:t>E</w:t>
            </w:r>
            <w:r w:rsidR="007C27A0" w:rsidRPr="002C5476">
              <w:rPr>
                <w:sz w:val="24"/>
                <w:szCs w:val="24"/>
              </w:rPr>
              <w:t>stablish</w:t>
            </w:r>
            <w:r w:rsidRPr="002C5476">
              <w:rPr>
                <w:sz w:val="24"/>
                <w:szCs w:val="24"/>
              </w:rPr>
              <w:t xml:space="preserve"> take down targets – </w:t>
            </w:r>
            <w:r w:rsidR="007C27A0" w:rsidRPr="002C5476">
              <w:rPr>
                <w:sz w:val="24"/>
                <w:szCs w:val="24"/>
              </w:rPr>
              <w:t>the number of Veterans experiencing homelessness and individuals experiencing chronic homelessness</w:t>
            </w:r>
            <w:r w:rsidRPr="002C5476">
              <w:rPr>
                <w:sz w:val="24"/>
                <w:szCs w:val="24"/>
              </w:rPr>
              <w:t xml:space="preserve"> that need to obtain permanent housing to end Veteran and chronic homelessness in Maine;</w:t>
            </w:r>
            <w:bookmarkStart w:id="1" w:name="_GoBack"/>
            <w:bookmarkEnd w:id="1"/>
          </w:p>
          <w:p w14:paraId="2CF0C99A" w14:textId="77777777" w:rsidR="002904A1" w:rsidRPr="002C5476" w:rsidRDefault="002904A1" w:rsidP="002904A1">
            <w:pPr>
              <w:pStyle w:val="ListParagraph"/>
              <w:numPr>
                <w:ilvl w:val="0"/>
                <w:numId w:val="31"/>
              </w:numPr>
              <w:spacing w:after="200"/>
              <w:rPr>
                <w:sz w:val="24"/>
                <w:szCs w:val="24"/>
              </w:rPr>
            </w:pPr>
            <w:r w:rsidRPr="002C5476">
              <w:rPr>
                <w:sz w:val="24"/>
                <w:szCs w:val="24"/>
              </w:rPr>
              <w:t xml:space="preserve">Break these targets down into easily attainable monthly housing goals; and </w:t>
            </w:r>
          </w:p>
          <w:p w14:paraId="6CB19988" w14:textId="77777777" w:rsidR="00DA190E" w:rsidRPr="002C5476" w:rsidRDefault="002904A1" w:rsidP="002904A1">
            <w:pPr>
              <w:pStyle w:val="ListParagraph"/>
              <w:numPr>
                <w:ilvl w:val="0"/>
                <w:numId w:val="31"/>
              </w:numPr>
              <w:spacing w:after="200"/>
              <w:rPr>
                <w:sz w:val="24"/>
                <w:szCs w:val="24"/>
              </w:rPr>
            </w:pPr>
            <w:r w:rsidRPr="002C5476">
              <w:rPr>
                <w:sz w:val="24"/>
                <w:szCs w:val="24"/>
              </w:rPr>
              <w:t>Analyze the continuum’s gaps, including any lack of permanent housing or subsidies, which could prevent the CoC from achieving the take down targets.</w:t>
            </w:r>
            <w:r w:rsidR="007C27A0" w:rsidRPr="002C5476">
              <w:rPr>
                <w:sz w:val="24"/>
                <w:szCs w:val="24"/>
              </w:rPr>
              <w:t xml:space="preserve">  </w:t>
            </w:r>
          </w:p>
          <w:p w14:paraId="75640DF0" w14:textId="74D2E42F" w:rsidR="002C5476" w:rsidRPr="002C5476" w:rsidRDefault="003B1207" w:rsidP="002C5476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discussed</w:t>
            </w:r>
            <w:r w:rsidR="002C5476" w:rsidRPr="002C5476">
              <w:rPr>
                <w:sz w:val="24"/>
                <w:szCs w:val="24"/>
              </w:rPr>
              <w:t xml:space="preserve"> the long term stayers initiative.</w:t>
            </w:r>
          </w:p>
        </w:tc>
        <w:tc>
          <w:tcPr>
            <w:tcW w:w="1980" w:type="dxa"/>
          </w:tcPr>
          <w:p w14:paraId="1A77AF45" w14:textId="21DC07FA" w:rsidR="00C0243F" w:rsidRPr="00CB7201" w:rsidRDefault="007C27A0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</w:tr>
    </w:tbl>
    <w:p w14:paraId="2529E01A" w14:textId="77777777" w:rsidR="00DB3805" w:rsidRPr="00CB7201" w:rsidRDefault="00DB3805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952"/>
      </w:tblGrid>
      <w:tr w:rsidR="00C0243F" w:rsidRPr="00CB7201" w14:paraId="2ADF5AAF" w14:textId="77777777" w:rsidTr="00C0243F">
        <w:trPr>
          <w:trHeight w:val="368"/>
        </w:trPr>
        <w:tc>
          <w:tcPr>
            <w:tcW w:w="8928" w:type="dxa"/>
          </w:tcPr>
          <w:p w14:paraId="262943AA" w14:textId="7E72AA4C" w:rsidR="00C0243F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Next Meeting (confirm time and location)/Adjournment</w:t>
            </w:r>
          </w:p>
          <w:p w14:paraId="59D2F583" w14:textId="772AFDBB" w:rsidR="00D41B51" w:rsidRDefault="00D41B51" w:rsidP="00D41B51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Unless otherwise decided meetings will occur on the third Tuesday of </w:t>
            </w:r>
            <w:r w:rsidR="00BA39D7">
              <w:rPr>
                <w:sz w:val="24"/>
                <w:szCs w:val="24"/>
              </w:rPr>
              <w:t>every other</w:t>
            </w:r>
            <w:r>
              <w:rPr>
                <w:sz w:val="24"/>
                <w:szCs w:val="24"/>
              </w:rPr>
              <w:t xml:space="preserve"> month at 4:00 PM.</w:t>
            </w:r>
          </w:p>
          <w:p w14:paraId="52870E80" w14:textId="6416ACA9" w:rsidR="00D41B51" w:rsidRPr="00D41B51" w:rsidRDefault="00D41B51" w:rsidP="00AE4F44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 w:rsidRPr="00D41B51">
              <w:rPr>
                <w:b/>
                <w:sz w:val="24"/>
                <w:szCs w:val="24"/>
              </w:rPr>
              <w:t xml:space="preserve">The next meeting is scheduled for Tuesday, </w:t>
            </w:r>
            <w:r w:rsidR="00AE4F44">
              <w:rPr>
                <w:b/>
                <w:sz w:val="24"/>
                <w:szCs w:val="24"/>
              </w:rPr>
              <w:t>November</w:t>
            </w:r>
            <w:r w:rsidRPr="00D41B51">
              <w:rPr>
                <w:b/>
                <w:sz w:val="24"/>
                <w:szCs w:val="24"/>
              </w:rPr>
              <w:t xml:space="preserve"> 1</w:t>
            </w:r>
            <w:r w:rsidR="00AE4F44">
              <w:rPr>
                <w:b/>
                <w:sz w:val="24"/>
                <w:szCs w:val="24"/>
              </w:rPr>
              <w:t>8</w:t>
            </w:r>
            <w:r w:rsidRPr="00D41B51">
              <w:rPr>
                <w:b/>
                <w:sz w:val="24"/>
                <w:szCs w:val="24"/>
                <w:vertAlign w:val="superscript"/>
              </w:rPr>
              <w:t>th</w:t>
            </w:r>
            <w:r w:rsidRPr="00D41B51">
              <w:rPr>
                <w:b/>
                <w:sz w:val="24"/>
                <w:szCs w:val="24"/>
              </w:rPr>
              <w:t xml:space="preserve"> at 4:00 PM.</w:t>
            </w:r>
          </w:p>
        </w:tc>
        <w:tc>
          <w:tcPr>
            <w:tcW w:w="1980" w:type="dxa"/>
          </w:tcPr>
          <w:p w14:paraId="2244222A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660B"/>
    <w:multiLevelType w:val="hybridMultilevel"/>
    <w:tmpl w:val="C946147E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930E0"/>
    <w:multiLevelType w:val="hybridMultilevel"/>
    <w:tmpl w:val="6C02EC54"/>
    <w:lvl w:ilvl="0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64A6562"/>
    <w:multiLevelType w:val="hybridMultilevel"/>
    <w:tmpl w:val="59B013E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A93"/>
    <w:multiLevelType w:val="hybridMultilevel"/>
    <w:tmpl w:val="A9209CD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6"/>
  </w:num>
  <w:num w:numId="10">
    <w:abstractNumId w:val="9"/>
  </w:num>
  <w:num w:numId="11">
    <w:abstractNumId w:val="25"/>
  </w:num>
  <w:num w:numId="12">
    <w:abstractNumId w:val="13"/>
  </w:num>
  <w:num w:numId="13">
    <w:abstractNumId w:val="21"/>
  </w:num>
  <w:num w:numId="14">
    <w:abstractNumId w:val="23"/>
  </w:num>
  <w:num w:numId="15">
    <w:abstractNumId w:val="3"/>
  </w:num>
  <w:num w:numId="16">
    <w:abstractNumId w:val="1"/>
  </w:num>
  <w:num w:numId="17">
    <w:abstractNumId w:val="7"/>
  </w:num>
  <w:num w:numId="18">
    <w:abstractNumId w:val="30"/>
  </w:num>
  <w:num w:numId="19">
    <w:abstractNumId w:val="11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8"/>
  </w:num>
  <w:num w:numId="25">
    <w:abstractNumId w:val="10"/>
  </w:num>
  <w:num w:numId="26">
    <w:abstractNumId w:val="24"/>
  </w:num>
  <w:num w:numId="27">
    <w:abstractNumId w:val="5"/>
  </w:num>
  <w:num w:numId="28">
    <w:abstractNumId w:val="15"/>
  </w:num>
  <w:num w:numId="29">
    <w:abstractNumId w:val="27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04A1"/>
    <w:rsid w:val="00295713"/>
    <w:rsid w:val="002C5476"/>
    <w:rsid w:val="0031390C"/>
    <w:rsid w:val="00340E7B"/>
    <w:rsid w:val="003532F2"/>
    <w:rsid w:val="00354876"/>
    <w:rsid w:val="003B1207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95B30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C27A0"/>
    <w:rsid w:val="007D473F"/>
    <w:rsid w:val="007F7180"/>
    <w:rsid w:val="00823FBC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866D7"/>
    <w:rsid w:val="00AB6BCC"/>
    <w:rsid w:val="00AC51CD"/>
    <w:rsid w:val="00AE4F44"/>
    <w:rsid w:val="00AF3430"/>
    <w:rsid w:val="00B3139E"/>
    <w:rsid w:val="00B44B5B"/>
    <w:rsid w:val="00B656E9"/>
    <w:rsid w:val="00B66C78"/>
    <w:rsid w:val="00B86AE4"/>
    <w:rsid w:val="00BA39D7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236A0"/>
    <w:rsid w:val="00D30659"/>
    <w:rsid w:val="00D41B51"/>
    <w:rsid w:val="00D42BEC"/>
    <w:rsid w:val="00D63538"/>
    <w:rsid w:val="00D71BF1"/>
    <w:rsid w:val="00D85402"/>
    <w:rsid w:val="00DA190E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5E7C"/>
    <w:rsid w:val="00E962F2"/>
    <w:rsid w:val="00EC29DF"/>
    <w:rsid w:val="00EC7FA4"/>
    <w:rsid w:val="00ED3D43"/>
    <w:rsid w:val="00EE652B"/>
    <w:rsid w:val="00EF759B"/>
    <w:rsid w:val="00F23062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61152-85D0-4DED-A193-510D0D9056A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293fe13a-4a1e-4596-9e46-0d8ff05c559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20171-A6E7-4947-B606-85689AD1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7</cp:revision>
  <cp:lastPrinted>2012-10-15T17:38:00Z</cp:lastPrinted>
  <dcterms:created xsi:type="dcterms:W3CDTF">2014-09-16T16:34:00Z</dcterms:created>
  <dcterms:modified xsi:type="dcterms:W3CDTF">2014-09-17T13:15:00Z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