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72"/>
        <w:gridCol w:w="3883"/>
        <w:gridCol w:w="2070"/>
        <w:gridCol w:w="2602"/>
      </w:tblGrid>
      <w:tr w:rsidR="00761B98" w:rsidRPr="003741E4" w:rsidTr="00A42F7A">
        <w:trPr>
          <w:cantSplit/>
          <w:trHeight w:val="505"/>
        </w:trPr>
        <w:tc>
          <w:tcPr>
            <w:tcW w:w="2172" w:type="dxa"/>
          </w:tcPr>
          <w:p w:rsidR="00761B98" w:rsidRPr="003741E4" w:rsidRDefault="008A74D3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8A74D3"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3" type="#_x0000_t120" style="position:absolute;margin-left:16.8pt;margin-top:87.2pt;width:3.75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Mgw3YzgAAAACQ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Pr="008A74D3">
              <w:rPr>
                <w:noProof/>
                <w:sz w:val="28"/>
                <w:szCs w:val="22"/>
              </w:rPr>
              <w:pict>
                <v:shape id="AutoShape 3" o:spid="_x0000_s1031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Pr="008A74D3">
              <w:rPr>
                <w:noProof/>
                <w:sz w:val="28"/>
                <w:szCs w:val="22"/>
              </w:rPr>
              <w:pict>
                <v:shape id="AutoShape 4" o:spid="_x0000_s1030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Pr="008A74D3">
              <w:rPr>
                <w:noProof/>
                <w:sz w:val="28"/>
                <w:szCs w:val="22"/>
              </w:rPr>
              <w:pict>
                <v:shape id="AutoShape 5" o:spid="_x0000_s1028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Pr="008A74D3">
              <w:rPr>
                <w:noProof/>
                <w:sz w:val="28"/>
                <w:szCs w:val="22"/>
              </w:rPr>
              <w:pict>
                <v:shape id="AutoShape 2" o:spid="_x0000_s1027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3"/>
            <w:shd w:val="clear" w:color="auto" w:fill="auto"/>
          </w:tcPr>
          <w:p w:rsidR="00761B98" w:rsidRPr="00825DAF" w:rsidRDefault="00761B98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bookmarkStart w:id="0" w:name="AgendaTitle"/>
            <w:bookmarkEnd w:id="0"/>
            <w:r w:rsidRPr="00825DAF">
              <w:rPr>
                <w:b/>
                <w:sz w:val="36"/>
                <w:szCs w:val="36"/>
              </w:rPr>
              <w:t>Maine Continuum of Care (MCOC) Agenda</w:t>
            </w:r>
          </w:p>
          <w:p w:rsidR="00761B98" w:rsidRDefault="00FD313F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January 23, 2014   1:00 pm to 4</w:t>
            </w:r>
            <w:r w:rsidR="00761B98" w:rsidRPr="00825DAF">
              <w:rPr>
                <w:b/>
                <w:sz w:val="36"/>
                <w:szCs w:val="36"/>
              </w:rPr>
              <w:t xml:space="preserve">:00 pm </w:t>
            </w:r>
          </w:p>
          <w:p w:rsidR="00FD313F" w:rsidRDefault="00FD313F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</w:p>
          <w:p w:rsidR="00FD313F" w:rsidRDefault="00FD313F" w:rsidP="00761B98">
            <w:pPr>
              <w:pStyle w:val="Formal1"/>
              <w:spacing w:before="0" w:after="0"/>
              <w:rPr>
                <w:b/>
                <w:sz w:val="28"/>
                <w:szCs w:val="36"/>
              </w:rPr>
            </w:pPr>
            <w:r w:rsidRPr="00FD313F">
              <w:rPr>
                <w:b/>
                <w:sz w:val="28"/>
                <w:szCs w:val="36"/>
              </w:rPr>
              <w:t>WE WILL NOT BE USING THE LIBRARY ROOMS THIS TIME</w:t>
            </w:r>
            <w:r>
              <w:rPr>
                <w:b/>
                <w:sz w:val="28"/>
                <w:szCs w:val="36"/>
              </w:rPr>
              <w:t>.</w:t>
            </w:r>
            <w:r w:rsidRPr="00FD313F">
              <w:rPr>
                <w:b/>
                <w:sz w:val="28"/>
                <w:szCs w:val="36"/>
              </w:rPr>
              <w:t xml:space="preserve"> THE MEETING WILL BE AT MAINEHOUSING</w:t>
            </w:r>
            <w:r>
              <w:rPr>
                <w:b/>
                <w:sz w:val="28"/>
                <w:szCs w:val="36"/>
              </w:rPr>
              <w:t>, 353 Water Street</w:t>
            </w:r>
            <w:r w:rsidRPr="00FD313F">
              <w:rPr>
                <w:b/>
                <w:sz w:val="28"/>
                <w:szCs w:val="36"/>
              </w:rPr>
              <w:t xml:space="preserve"> IN AUGUSTA</w:t>
            </w:r>
            <w:r>
              <w:rPr>
                <w:b/>
                <w:sz w:val="28"/>
                <w:szCs w:val="36"/>
              </w:rPr>
              <w:t>,</w:t>
            </w:r>
            <w:r w:rsidRPr="00FD313F">
              <w:rPr>
                <w:b/>
                <w:sz w:val="28"/>
                <w:szCs w:val="36"/>
              </w:rPr>
              <w:t xml:space="preserve"> </w:t>
            </w:r>
            <w:proofErr w:type="gramStart"/>
            <w:r w:rsidRPr="00FD313F">
              <w:rPr>
                <w:b/>
                <w:sz w:val="28"/>
                <w:szCs w:val="36"/>
              </w:rPr>
              <w:t>OR  YOU</w:t>
            </w:r>
            <w:proofErr w:type="gramEnd"/>
            <w:r w:rsidRPr="00FD313F">
              <w:rPr>
                <w:b/>
                <w:sz w:val="28"/>
                <w:szCs w:val="36"/>
              </w:rPr>
              <w:t xml:space="preserve"> MAY JOIN BY “GO TO MEETING” FROM YOUR COMPUTER</w:t>
            </w:r>
            <w:r>
              <w:rPr>
                <w:b/>
                <w:sz w:val="28"/>
                <w:szCs w:val="36"/>
              </w:rPr>
              <w:t xml:space="preserve"> and call in to the conference number.</w:t>
            </w:r>
          </w:p>
          <w:p w:rsidR="00FD313F" w:rsidRPr="00FD313F" w:rsidRDefault="00FD313F" w:rsidP="00FD31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FD313F">
              <w:rPr>
                <w:rFonts w:ascii="Calibri" w:hAnsi="Calibri" w:cs="Calibri"/>
                <w:sz w:val="22"/>
              </w:rPr>
              <w:t xml:space="preserve">1.  Please join my meeting. </w:t>
            </w:r>
            <w:hyperlink r:id="rId6" w:history="1">
              <w:r w:rsidRPr="00FD313F">
                <w:rPr>
                  <w:rStyle w:val="Hyperlink"/>
                  <w:rFonts w:ascii="Calibri" w:hAnsi="Calibri" w:cs="Calibri"/>
                  <w:sz w:val="24"/>
                </w:rPr>
                <w:t>https://www1.gotomeeting.com/join/491854856</w:t>
              </w:r>
            </w:hyperlink>
          </w:p>
          <w:p w:rsidR="00FD313F" w:rsidRPr="00FD313F" w:rsidRDefault="00FD313F" w:rsidP="00FD31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:rsidR="00761B98" w:rsidRPr="00FD313F" w:rsidRDefault="00FD313F" w:rsidP="00FD31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FD313F">
              <w:rPr>
                <w:rFonts w:ascii="Calibri" w:hAnsi="Calibri" w:cs="Calibri"/>
                <w:sz w:val="22"/>
              </w:rPr>
              <w:t>2.  Join the conference call: Call in to 1-866-316-1519 When prompted, enter code 9284295#</w:t>
            </w:r>
          </w:p>
        </w:tc>
      </w:tr>
      <w:tr w:rsidR="00A42F7A" w:rsidRPr="00435582" w:rsidTr="00A42F7A">
        <w:trPr>
          <w:cantSplit/>
          <w:trHeight w:val="157"/>
        </w:trPr>
        <w:tc>
          <w:tcPr>
            <w:tcW w:w="10727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A42F7A">
        <w:trPr>
          <w:cantSplit/>
          <w:trHeight w:val="157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4E407C">
        <w:trPr>
          <w:cantSplit/>
          <w:trHeight w:val="42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92170E" w:rsidRPr="0069034A" w:rsidRDefault="004E407C" w:rsidP="00921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NOFA Related Items:  See Below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407C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4E407C" w:rsidRPr="00A978C1" w:rsidRDefault="004E407C" w:rsidP="0069034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1: Review Section 1a, b &amp; c</w:t>
            </w:r>
          </w:p>
        </w:tc>
        <w:tc>
          <w:tcPr>
            <w:tcW w:w="2070" w:type="dxa"/>
            <w:vMerge w:val="restart"/>
          </w:tcPr>
          <w:p w:rsidR="004E407C" w:rsidRPr="00A978C1" w:rsidRDefault="004E407C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Paula, All</w:t>
            </w:r>
          </w:p>
        </w:tc>
        <w:tc>
          <w:tcPr>
            <w:tcW w:w="2602" w:type="dxa"/>
          </w:tcPr>
          <w:p w:rsidR="004E407C" w:rsidRDefault="004E407C" w:rsidP="002D59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407C" w:rsidRPr="0097044D" w:rsidRDefault="004E407C" w:rsidP="002D59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407C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4E407C" w:rsidRPr="002D59BA" w:rsidRDefault="004E407C" w:rsidP="004E407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Section 1d</w:t>
            </w:r>
          </w:p>
        </w:tc>
        <w:tc>
          <w:tcPr>
            <w:tcW w:w="2070" w:type="dxa"/>
            <w:vMerge/>
          </w:tcPr>
          <w:p w:rsidR="004E407C" w:rsidRDefault="004E407C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4E407C" w:rsidRPr="0097044D" w:rsidRDefault="004E407C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407C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4E407C" w:rsidRPr="002D59BA" w:rsidRDefault="004E407C" w:rsidP="0069034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attachment for Section 1d for written documentation of ranking / selection process, etc.</w:t>
            </w:r>
          </w:p>
        </w:tc>
        <w:tc>
          <w:tcPr>
            <w:tcW w:w="2070" w:type="dxa"/>
            <w:vMerge/>
          </w:tcPr>
          <w:p w:rsidR="004E407C" w:rsidRDefault="004E407C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4E407C" w:rsidRPr="0097044D" w:rsidRDefault="004E407C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407C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4E407C" w:rsidRPr="0069034A" w:rsidRDefault="004E407C" w:rsidP="0069034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3:  Finalize all projects for 2014 / 2015. Review narratives, etc.</w:t>
            </w:r>
          </w:p>
        </w:tc>
        <w:tc>
          <w:tcPr>
            <w:tcW w:w="2070" w:type="dxa"/>
            <w:vMerge/>
          </w:tcPr>
          <w:p w:rsidR="004E407C" w:rsidRPr="00825DAF" w:rsidRDefault="004E407C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4E407C" w:rsidRPr="0097044D" w:rsidRDefault="004E407C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407C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4E407C" w:rsidRPr="0069034A" w:rsidRDefault="004E407C" w:rsidP="0069034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4: Review the 6 questions in 4a to completion, etc.</w:t>
            </w:r>
          </w:p>
        </w:tc>
        <w:tc>
          <w:tcPr>
            <w:tcW w:w="2070" w:type="dxa"/>
            <w:vMerge/>
          </w:tcPr>
          <w:p w:rsidR="004E407C" w:rsidRPr="00825DAF" w:rsidRDefault="004E407C" w:rsidP="006903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4E407C" w:rsidRPr="0097044D" w:rsidRDefault="004E407C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E12AA6" w:rsidRPr="004E407C" w:rsidRDefault="004E407C" w:rsidP="004E40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Ranking / Selection process narrative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22"/>
        </w:trPr>
        <w:tc>
          <w:tcPr>
            <w:tcW w:w="6055" w:type="dxa"/>
            <w:gridSpan w:val="2"/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Next meeting </w:t>
            </w:r>
          </w:p>
          <w:p w:rsidR="00761B98" w:rsidRDefault="00FD313F" w:rsidP="0069034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20, 2014</w:t>
            </w:r>
          </w:p>
          <w:p w:rsidR="0069034A" w:rsidRPr="00825DAF" w:rsidRDefault="0069034A" w:rsidP="0069034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3741E4" w:rsidTr="00A42F7A">
        <w:trPr>
          <w:cantSplit/>
          <w:trHeight w:val="151"/>
        </w:trPr>
        <w:tc>
          <w:tcPr>
            <w:tcW w:w="10727" w:type="dxa"/>
            <w:gridSpan w:val="4"/>
          </w:tcPr>
          <w:p w:rsidR="00A42F7A" w:rsidRPr="003741E4" w:rsidRDefault="00A42F7A" w:rsidP="00A42F7A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7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8"/>
  </w:num>
  <w:num w:numId="13">
    <w:abstractNumId w:val="13"/>
  </w:num>
  <w:num w:numId="14">
    <w:abstractNumId w:val="14"/>
  </w:num>
  <w:num w:numId="15">
    <w:abstractNumId w:val="22"/>
  </w:num>
  <w:num w:numId="16">
    <w:abstractNumId w:val="1"/>
  </w:num>
  <w:num w:numId="17">
    <w:abstractNumId w:val="7"/>
  </w:num>
  <w:num w:numId="18">
    <w:abstractNumId w:val="19"/>
  </w:num>
  <w:num w:numId="19">
    <w:abstractNumId w:val="5"/>
  </w:num>
  <w:num w:numId="20">
    <w:abstractNumId w:val="17"/>
  </w:num>
  <w:num w:numId="21">
    <w:abstractNumId w:val="6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91395"/>
    <w:rsid w:val="001B2D57"/>
    <w:rsid w:val="001B3665"/>
    <w:rsid w:val="002107D8"/>
    <w:rsid w:val="0022565C"/>
    <w:rsid w:val="002417C3"/>
    <w:rsid w:val="0024616A"/>
    <w:rsid w:val="00254449"/>
    <w:rsid w:val="00261262"/>
    <w:rsid w:val="00275340"/>
    <w:rsid w:val="0028058F"/>
    <w:rsid w:val="0029152D"/>
    <w:rsid w:val="00295713"/>
    <w:rsid w:val="002D59BA"/>
    <w:rsid w:val="003453AB"/>
    <w:rsid w:val="00354876"/>
    <w:rsid w:val="003E121F"/>
    <w:rsid w:val="003E3DD0"/>
    <w:rsid w:val="004254CF"/>
    <w:rsid w:val="004363CD"/>
    <w:rsid w:val="0045336D"/>
    <w:rsid w:val="00457C29"/>
    <w:rsid w:val="00487722"/>
    <w:rsid w:val="004E407C"/>
    <w:rsid w:val="00520FF8"/>
    <w:rsid w:val="005212C0"/>
    <w:rsid w:val="00533993"/>
    <w:rsid w:val="00553EB3"/>
    <w:rsid w:val="0058685E"/>
    <w:rsid w:val="005E6AAD"/>
    <w:rsid w:val="00630ADB"/>
    <w:rsid w:val="006434DC"/>
    <w:rsid w:val="0069034A"/>
    <w:rsid w:val="00690D19"/>
    <w:rsid w:val="00694A7B"/>
    <w:rsid w:val="006D31D9"/>
    <w:rsid w:val="00752E33"/>
    <w:rsid w:val="00761B98"/>
    <w:rsid w:val="00786B55"/>
    <w:rsid w:val="007A5F48"/>
    <w:rsid w:val="00825DAF"/>
    <w:rsid w:val="00856800"/>
    <w:rsid w:val="00875186"/>
    <w:rsid w:val="008A6853"/>
    <w:rsid w:val="008A74D3"/>
    <w:rsid w:val="008D762C"/>
    <w:rsid w:val="00917D83"/>
    <w:rsid w:val="0092170E"/>
    <w:rsid w:val="00957494"/>
    <w:rsid w:val="0097044D"/>
    <w:rsid w:val="00986B43"/>
    <w:rsid w:val="009A6831"/>
    <w:rsid w:val="009E5BD6"/>
    <w:rsid w:val="009F68E3"/>
    <w:rsid w:val="00A063E8"/>
    <w:rsid w:val="00A42F7A"/>
    <w:rsid w:val="00A63CA0"/>
    <w:rsid w:val="00A77329"/>
    <w:rsid w:val="00A978C1"/>
    <w:rsid w:val="00AB6BCC"/>
    <w:rsid w:val="00AC51CD"/>
    <w:rsid w:val="00B324C8"/>
    <w:rsid w:val="00B656E9"/>
    <w:rsid w:val="00B66C78"/>
    <w:rsid w:val="00BA0F2B"/>
    <w:rsid w:val="00BB495F"/>
    <w:rsid w:val="00BC11E6"/>
    <w:rsid w:val="00BE16A6"/>
    <w:rsid w:val="00BE591B"/>
    <w:rsid w:val="00C13613"/>
    <w:rsid w:val="00C370D2"/>
    <w:rsid w:val="00C775FC"/>
    <w:rsid w:val="00C91047"/>
    <w:rsid w:val="00C920D1"/>
    <w:rsid w:val="00CA70AF"/>
    <w:rsid w:val="00CB3566"/>
    <w:rsid w:val="00CD27F3"/>
    <w:rsid w:val="00CE079C"/>
    <w:rsid w:val="00CF0945"/>
    <w:rsid w:val="00D40D2B"/>
    <w:rsid w:val="00D42BEC"/>
    <w:rsid w:val="00D71BF1"/>
    <w:rsid w:val="00D85402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90854"/>
    <w:rsid w:val="00EC29DF"/>
    <w:rsid w:val="00EC7FA4"/>
    <w:rsid w:val="00EE652B"/>
    <w:rsid w:val="00EF759B"/>
    <w:rsid w:val="00F670C5"/>
    <w:rsid w:val="00F73D01"/>
    <w:rsid w:val="00FA27D0"/>
    <w:rsid w:val="00FB565B"/>
    <w:rsid w:val="00FC6D96"/>
    <w:rsid w:val="00FD313F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9"/>
        <o:r id="V:Rule2" type="connector" idref="#AutoShape 8"/>
        <o:r id="V:Rule3" type="connector" idref="#AutoShape 11"/>
        <o:r id="V:Rule4" type="connector" idref="#AutoShape 7"/>
        <o:r id="V:Rule5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bbitts@maine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gotomeeting.com/join/491854856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2012-10-15T17:38:00Z</cp:lastPrinted>
  <dcterms:created xsi:type="dcterms:W3CDTF">2014-01-22T17:49:00Z</dcterms:created>
  <dcterms:modified xsi:type="dcterms:W3CDTF">2014-01-22T17:55:00Z</dcterms:modified>
</cp:coreProperties>
</file>