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162" w:type="dxa"/>
        <w:tblLayout w:type="fixed"/>
        <w:tblLook w:val="04A0" w:firstRow="1" w:lastRow="0" w:firstColumn="1" w:lastColumn="0" w:noHBand="0" w:noVBand="1"/>
      </w:tblPr>
      <w:tblGrid>
        <w:gridCol w:w="6660"/>
        <w:gridCol w:w="630"/>
        <w:gridCol w:w="1530"/>
        <w:gridCol w:w="720"/>
        <w:gridCol w:w="1350"/>
      </w:tblGrid>
      <w:tr w:rsidR="00537125" w:rsidRPr="00C60C1F" w14:paraId="0317652D" w14:textId="77777777" w:rsidTr="00581270">
        <w:tc>
          <w:tcPr>
            <w:tcW w:w="6660" w:type="dxa"/>
          </w:tcPr>
          <w:p w14:paraId="5A4EC6B7" w14:textId="77777777" w:rsidR="008E719E" w:rsidRPr="00D31A9B" w:rsidRDefault="008E719E" w:rsidP="007C2B0D">
            <w:pPr>
              <w:jc w:val="center"/>
              <w:rPr>
                <w:rFonts w:ascii="Times New Roman"/>
                <w:b/>
                <w:sz w:val="32"/>
              </w:rPr>
            </w:pPr>
            <w:r w:rsidRPr="00D31A9B">
              <w:rPr>
                <w:rFonts w:ascii="Times New Roman"/>
                <w:b/>
                <w:sz w:val="32"/>
              </w:rPr>
              <w:t xml:space="preserve">FY </w:t>
            </w:r>
            <w:r w:rsidR="00537125" w:rsidRPr="00D31A9B">
              <w:rPr>
                <w:rFonts w:ascii="Times New Roman"/>
                <w:b/>
                <w:sz w:val="32"/>
              </w:rPr>
              <w:t>201</w:t>
            </w:r>
            <w:r w:rsidR="00581270" w:rsidRPr="00D31A9B">
              <w:rPr>
                <w:rFonts w:ascii="Times New Roman"/>
                <w:b/>
                <w:sz w:val="32"/>
              </w:rPr>
              <w:t xml:space="preserve">6 </w:t>
            </w:r>
            <w:r w:rsidR="00537125" w:rsidRPr="00D31A9B">
              <w:rPr>
                <w:rFonts w:ascii="Times New Roman"/>
                <w:b/>
                <w:sz w:val="32"/>
              </w:rPr>
              <w:t xml:space="preserve">COC </w:t>
            </w:r>
            <w:r w:rsidRPr="00D31A9B">
              <w:rPr>
                <w:rFonts w:ascii="Times New Roman"/>
                <w:b/>
                <w:sz w:val="32"/>
              </w:rPr>
              <w:t xml:space="preserve">NOFA </w:t>
            </w:r>
            <w:r w:rsidR="00537125" w:rsidRPr="00D31A9B">
              <w:rPr>
                <w:rFonts w:ascii="Times New Roman"/>
                <w:b/>
                <w:sz w:val="32"/>
              </w:rPr>
              <w:t>Application</w:t>
            </w:r>
          </w:p>
          <w:p w14:paraId="1B2A41BC" w14:textId="77777777" w:rsidR="00537125" w:rsidRPr="00C60C1F" w:rsidRDefault="00537125" w:rsidP="007C2B0D">
            <w:pPr>
              <w:jc w:val="center"/>
              <w:rPr>
                <w:rFonts w:ascii="Times New Roman"/>
                <w:b/>
                <w:sz w:val="28"/>
              </w:rPr>
            </w:pPr>
            <w:r w:rsidRPr="00D31A9B">
              <w:rPr>
                <w:rFonts w:ascii="Times New Roman"/>
                <w:b/>
                <w:sz w:val="32"/>
              </w:rPr>
              <w:t xml:space="preserve">Review </w:t>
            </w:r>
            <w:r w:rsidR="008E719E" w:rsidRPr="00D31A9B">
              <w:rPr>
                <w:rFonts w:ascii="Times New Roman"/>
                <w:b/>
                <w:sz w:val="32"/>
              </w:rPr>
              <w:t>of</w:t>
            </w:r>
            <w:r w:rsidRPr="00D31A9B">
              <w:rPr>
                <w:rFonts w:ascii="Times New Roman"/>
                <w:b/>
                <w:sz w:val="32"/>
              </w:rPr>
              <w:t xml:space="preserve"> Action Steps</w:t>
            </w:r>
          </w:p>
        </w:tc>
        <w:tc>
          <w:tcPr>
            <w:tcW w:w="630" w:type="dxa"/>
          </w:tcPr>
          <w:p w14:paraId="3F288850" w14:textId="77777777" w:rsidR="00537125" w:rsidRPr="00537125" w:rsidRDefault="00537125" w:rsidP="00537125">
            <w:pPr>
              <w:jc w:val="center"/>
              <w:rPr>
                <w:rFonts w:ascii="Times New Roman"/>
                <w:sz w:val="28"/>
              </w:rPr>
            </w:pPr>
          </w:p>
        </w:tc>
        <w:tc>
          <w:tcPr>
            <w:tcW w:w="1530" w:type="dxa"/>
          </w:tcPr>
          <w:p w14:paraId="110235B0" w14:textId="77777777" w:rsidR="00537125" w:rsidRPr="00537125" w:rsidRDefault="00537125" w:rsidP="00537125">
            <w:pPr>
              <w:jc w:val="center"/>
              <w:rPr>
                <w:rFonts w:ascii="Times New Roman"/>
                <w:sz w:val="28"/>
              </w:rPr>
            </w:pPr>
          </w:p>
        </w:tc>
        <w:tc>
          <w:tcPr>
            <w:tcW w:w="720" w:type="dxa"/>
          </w:tcPr>
          <w:p w14:paraId="1CD26580" w14:textId="77777777" w:rsidR="00537125" w:rsidRPr="00537125" w:rsidRDefault="00537125" w:rsidP="00537125">
            <w:pPr>
              <w:jc w:val="center"/>
              <w:rPr>
                <w:rFonts w:ascii="Times New Roman"/>
                <w:sz w:val="28"/>
              </w:rPr>
            </w:pPr>
          </w:p>
        </w:tc>
        <w:tc>
          <w:tcPr>
            <w:tcW w:w="1350" w:type="dxa"/>
          </w:tcPr>
          <w:p w14:paraId="4E8C9AB1" w14:textId="77777777" w:rsidR="00537125" w:rsidRDefault="00537125" w:rsidP="006673C2">
            <w:pPr>
              <w:jc w:val="center"/>
              <w:rPr>
                <w:rFonts w:ascii="Times New Roman"/>
                <w:b/>
                <w:sz w:val="28"/>
              </w:rPr>
            </w:pPr>
          </w:p>
        </w:tc>
      </w:tr>
      <w:tr w:rsidR="00581270" w:rsidRPr="00C60C1F" w14:paraId="5BA6233E" w14:textId="77777777" w:rsidTr="00581270">
        <w:tc>
          <w:tcPr>
            <w:tcW w:w="6660" w:type="dxa"/>
            <w:shd w:val="clear" w:color="auto" w:fill="D99594" w:themeFill="accent2" w:themeFillTint="99"/>
          </w:tcPr>
          <w:p w14:paraId="33911FE7" w14:textId="77777777" w:rsidR="00537125" w:rsidRPr="00E2568E" w:rsidRDefault="00537125" w:rsidP="00C60C1F">
            <w:pPr>
              <w:rPr>
                <w:b/>
                <w:sz w:val="24"/>
                <w:szCs w:val="24"/>
              </w:rPr>
            </w:pPr>
          </w:p>
        </w:tc>
        <w:tc>
          <w:tcPr>
            <w:tcW w:w="630" w:type="dxa"/>
            <w:shd w:val="clear" w:color="auto" w:fill="D99594" w:themeFill="accent2" w:themeFillTint="99"/>
          </w:tcPr>
          <w:p w14:paraId="6181AF5E" w14:textId="77777777" w:rsidR="00537125" w:rsidRPr="00581270" w:rsidRDefault="00537125" w:rsidP="00537125">
            <w:pPr>
              <w:jc w:val="center"/>
              <w:rPr>
                <w:b/>
                <w:sz w:val="24"/>
                <w:szCs w:val="24"/>
              </w:rPr>
            </w:pPr>
            <w:r w:rsidRPr="00581270">
              <w:rPr>
                <w:b/>
                <w:sz w:val="24"/>
                <w:szCs w:val="24"/>
              </w:rPr>
              <w:t>CA</w:t>
            </w:r>
          </w:p>
        </w:tc>
        <w:tc>
          <w:tcPr>
            <w:tcW w:w="1530" w:type="dxa"/>
            <w:shd w:val="clear" w:color="auto" w:fill="D99594" w:themeFill="accent2" w:themeFillTint="99"/>
          </w:tcPr>
          <w:p w14:paraId="4731A0CF" w14:textId="77777777" w:rsidR="00537125" w:rsidRPr="00581270" w:rsidRDefault="008E719E" w:rsidP="00537125">
            <w:pPr>
              <w:jc w:val="center"/>
              <w:rPr>
                <w:b/>
                <w:sz w:val="24"/>
                <w:szCs w:val="24"/>
              </w:rPr>
            </w:pPr>
            <w:r w:rsidRPr="00581270">
              <w:rPr>
                <w:b/>
                <w:sz w:val="24"/>
                <w:szCs w:val="24"/>
              </w:rPr>
              <w:t>Consultant</w:t>
            </w:r>
            <w:r w:rsidR="00581270" w:rsidRPr="00581270">
              <w:rPr>
                <w:b/>
                <w:sz w:val="24"/>
                <w:szCs w:val="24"/>
              </w:rPr>
              <w:t>s</w:t>
            </w:r>
          </w:p>
        </w:tc>
        <w:tc>
          <w:tcPr>
            <w:tcW w:w="720" w:type="dxa"/>
            <w:shd w:val="clear" w:color="auto" w:fill="D99594" w:themeFill="accent2" w:themeFillTint="99"/>
          </w:tcPr>
          <w:p w14:paraId="55F3021C" w14:textId="77777777" w:rsidR="00537125" w:rsidRPr="00581270" w:rsidRDefault="00537125" w:rsidP="00537125">
            <w:pPr>
              <w:jc w:val="center"/>
              <w:rPr>
                <w:b/>
                <w:sz w:val="24"/>
                <w:szCs w:val="24"/>
              </w:rPr>
            </w:pPr>
            <w:r w:rsidRPr="00581270">
              <w:rPr>
                <w:b/>
                <w:sz w:val="24"/>
                <w:szCs w:val="24"/>
              </w:rPr>
              <w:t>CoC</w:t>
            </w:r>
          </w:p>
        </w:tc>
        <w:tc>
          <w:tcPr>
            <w:tcW w:w="1350" w:type="dxa"/>
            <w:shd w:val="clear" w:color="auto" w:fill="D99594" w:themeFill="accent2" w:themeFillTint="99"/>
          </w:tcPr>
          <w:p w14:paraId="66A4CF00" w14:textId="77777777" w:rsidR="00537125" w:rsidRPr="00581270" w:rsidRDefault="00537125" w:rsidP="006673C2">
            <w:pPr>
              <w:jc w:val="center"/>
              <w:rPr>
                <w:b/>
                <w:sz w:val="24"/>
                <w:szCs w:val="24"/>
              </w:rPr>
            </w:pPr>
            <w:r w:rsidRPr="00581270">
              <w:rPr>
                <w:b/>
                <w:sz w:val="24"/>
                <w:szCs w:val="24"/>
              </w:rPr>
              <w:t>Comm</w:t>
            </w:r>
            <w:r w:rsidR="008E719E" w:rsidRPr="00581270">
              <w:rPr>
                <w:b/>
                <w:sz w:val="24"/>
                <w:szCs w:val="24"/>
              </w:rPr>
              <w:t>ittee</w:t>
            </w:r>
          </w:p>
        </w:tc>
      </w:tr>
      <w:tr w:rsidR="00581270" w:rsidRPr="00C60C1F" w14:paraId="38AED151" w14:textId="77777777" w:rsidTr="00581270">
        <w:tc>
          <w:tcPr>
            <w:tcW w:w="6660" w:type="dxa"/>
            <w:shd w:val="clear" w:color="auto" w:fill="D99594" w:themeFill="accent2" w:themeFillTint="99"/>
          </w:tcPr>
          <w:p w14:paraId="0FA2DF1D" w14:textId="77777777" w:rsidR="008E719E" w:rsidRPr="008E719E" w:rsidRDefault="008E719E" w:rsidP="008E719E">
            <w:pPr>
              <w:rPr>
                <w:rFonts w:ascii="Times New Roman"/>
                <w:sz w:val="20"/>
                <w:szCs w:val="20"/>
              </w:rPr>
            </w:pPr>
            <w:r>
              <w:rPr>
                <w:rFonts w:ascii="Times New Roman"/>
                <w:b/>
              </w:rPr>
              <w:t>HUD Releases GIW to Collaborative Applicants:</w:t>
            </w:r>
            <w:r>
              <w:rPr>
                <w:rFonts w:ascii="Times New Roman"/>
                <w:sz w:val="20"/>
                <w:szCs w:val="20"/>
              </w:rPr>
              <w:t xml:space="preserve"> </w:t>
            </w:r>
          </w:p>
        </w:tc>
        <w:tc>
          <w:tcPr>
            <w:tcW w:w="630" w:type="dxa"/>
            <w:shd w:val="clear" w:color="auto" w:fill="D99594" w:themeFill="accent2" w:themeFillTint="99"/>
          </w:tcPr>
          <w:p w14:paraId="765609FD" w14:textId="77777777" w:rsidR="008E719E" w:rsidRPr="00537125" w:rsidRDefault="008E719E" w:rsidP="00537125">
            <w:pPr>
              <w:jc w:val="center"/>
              <w:rPr>
                <w:rFonts w:ascii="Times New Roman"/>
              </w:rPr>
            </w:pPr>
          </w:p>
        </w:tc>
        <w:tc>
          <w:tcPr>
            <w:tcW w:w="1530" w:type="dxa"/>
            <w:shd w:val="clear" w:color="auto" w:fill="D99594" w:themeFill="accent2" w:themeFillTint="99"/>
          </w:tcPr>
          <w:p w14:paraId="5DCA206D" w14:textId="77777777" w:rsidR="008E719E" w:rsidRPr="00537125" w:rsidRDefault="008E719E" w:rsidP="00537125">
            <w:pPr>
              <w:jc w:val="center"/>
              <w:rPr>
                <w:rFonts w:ascii="Times New Roman"/>
              </w:rPr>
            </w:pPr>
          </w:p>
        </w:tc>
        <w:tc>
          <w:tcPr>
            <w:tcW w:w="720" w:type="dxa"/>
            <w:shd w:val="clear" w:color="auto" w:fill="D99594" w:themeFill="accent2" w:themeFillTint="99"/>
          </w:tcPr>
          <w:p w14:paraId="2E4AD6A2" w14:textId="77777777" w:rsidR="008E719E" w:rsidRPr="00537125" w:rsidRDefault="008E719E" w:rsidP="00537125">
            <w:pPr>
              <w:jc w:val="center"/>
              <w:rPr>
                <w:rFonts w:ascii="Times New Roman"/>
              </w:rPr>
            </w:pPr>
          </w:p>
        </w:tc>
        <w:tc>
          <w:tcPr>
            <w:tcW w:w="1350" w:type="dxa"/>
            <w:shd w:val="clear" w:color="auto" w:fill="D99594" w:themeFill="accent2" w:themeFillTint="99"/>
          </w:tcPr>
          <w:p w14:paraId="0818C0F3" w14:textId="77777777" w:rsidR="008E719E" w:rsidRDefault="008E719E" w:rsidP="006673C2">
            <w:pPr>
              <w:jc w:val="center"/>
              <w:rPr>
                <w:rFonts w:ascii="Times New Roman"/>
              </w:rPr>
            </w:pPr>
          </w:p>
        </w:tc>
      </w:tr>
      <w:tr w:rsidR="008E719E" w:rsidRPr="00C60C1F" w14:paraId="7AE3E673" w14:textId="77777777" w:rsidTr="00581270">
        <w:tc>
          <w:tcPr>
            <w:tcW w:w="6660" w:type="dxa"/>
          </w:tcPr>
          <w:p w14:paraId="25A0DC41" w14:textId="77777777" w:rsidR="008E719E" w:rsidRPr="008E719E" w:rsidRDefault="00581270" w:rsidP="00581270">
            <w:pPr>
              <w:pStyle w:val="ListParagraph"/>
              <w:numPr>
                <w:ilvl w:val="0"/>
                <w:numId w:val="17"/>
              </w:numPr>
              <w:rPr>
                <w:rFonts w:ascii="Times New Roman"/>
                <w:b/>
              </w:rPr>
            </w:pPr>
            <w:r>
              <w:rPr>
                <w:rFonts w:ascii="Times New Roman"/>
                <w:sz w:val="20"/>
                <w:szCs w:val="20"/>
              </w:rPr>
              <w:t>Usually</w:t>
            </w:r>
            <w:r w:rsidR="008E719E" w:rsidRPr="008E719E">
              <w:rPr>
                <w:rFonts w:ascii="Times New Roman"/>
                <w:sz w:val="20"/>
                <w:szCs w:val="20"/>
              </w:rPr>
              <w:t xml:space="preserve"> 2-3 week</w:t>
            </w:r>
            <w:r>
              <w:rPr>
                <w:rFonts w:ascii="Times New Roman"/>
                <w:sz w:val="20"/>
                <w:szCs w:val="20"/>
              </w:rPr>
              <w:t>s</w:t>
            </w:r>
            <w:r w:rsidR="008E719E" w:rsidRPr="008E719E">
              <w:rPr>
                <w:rFonts w:ascii="Times New Roman"/>
                <w:sz w:val="20"/>
                <w:szCs w:val="20"/>
              </w:rPr>
              <w:t xml:space="preserve"> to return</w:t>
            </w:r>
            <w:r>
              <w:rPr>
                <w:rFonts w:ascii="Times New Roman"/>
                <w:sz w:val="20"/>
                <w:szCs w:val="20"/>
              </w:rPr>
              <w:t xml:space="preserve"> DRAFT</w:t>
            </w:r>
            <w:r w:rsidR="00212683">
              <w:rPr>
                <w:rFonts w:ascii="Times New Roman"/>
                <w:sz w:val="20"/>
                <w:szCs w:val="20"/>
              </w:rPr>
              <w:t xml:space="preserve"> to HUD. T</w:t>
            </w:r>
            <w:r w:rsidR="008E719E" w:rsidRPr="008E719E">
              <w:rPr>
                <w:rFonts w:ascii="Times New Roman"/>
                <w:sz w:val="20"/>
                <w:szCs w:val="20"/>
              </w:rPr>
              <w:t>he final</w:t>
            </w:r>
            <w:r w:rsidR="00212683">
              <w:rPr>
                <w:rFonts w:ascii="Times New Roman"/>
                <w:sz w:val="20"/>
                <w:szCs w:val="20"/>
              </w:rPr>
              <w:t xml:space="preserve"> version</w:t>
            </w:r>
            <w:r w:rsidR="008E719E" w:rsidRPr="008E719E">
              <w:rPr>
                <w:rFonts w:ascii="Times New Roman"/>
                <w:sz w:val="20"/>
                <w:szCs w:val="20"/>
              </w:rPr>
              <w:t xml:space="preserve"> </w:t>
            </w:r>
            <w:r>
              <w:rPr>
                <w:rFonts w:ascii="Times New Roman"/>
                <w:sz w:val="20"/>
                <w:szCs w:val="20"/>
              </w:rPr>
              <w:t>is</w:t>
            </w:r>
            <w:r w:rsidR="008E719E" w:rsidRPr="008E719E">
              <w:rPr>
                <w:rFonts w:ascii="Times New Roman"/>
                <w:sz w:val="20"/>
                <w:szCs w:val="20"/>
              </w:rPr>
              <w:t xml:space="preserve"> returned </w:t>
            </w:r>
            <w:r w:rsidR="00212683">
              <w:rPr>
                <w:rFonts w:ascii="Times New Roman"/>
                <w:sz w:val="20"/>
                <w:szCs w:val="20"/>
              </w:rPr>
              <w:t xml:space="preserve">to the CoC </w:t>
            </w:r>
            <w:r w:rsidR="008E719E" w:rsidRPr="008E719E">
              <w:rPr>
                <w:rFonts w:ascii="Times New Roman"/>
                <w:sz w:val="20"/>
                <w:szCs w:val="20"/>
              </w:rPr>
              <w:t xml:space="preserve">within 6-8 weeks of the original announcement.  </w:t>
            </w:r>
          </w:p>
        </w:tc>
        <w:tc>
          <w:tcPr>
            <w:tcW w:w="630" w:type="dxa"/>
          </w:tcPr>
          <w:p w14:paraId="272E7C90" w14:textId="77777777" w:rsidR="008E719E" w:rsidRPr="00537125" w:rsidRDefault="008E43C3" w:rsidP="00537125">
            <w:pPr>
              <w:jc w:val="center"/>
              <w:rPr>
                <w:rFonts w:ascii="Times New Roman"/>
              </w:rPr>
            </w:pPr>
            <w:r>
              <w:rPr>
                <w:rFonts w:ascii="Times New Roman"/>
              </w:rPr>
              <w:t>X</w:t>
            </w:r>
          </w:p>
        </w:tc>
        <w:tc>
          <w:tcPr>
            <w:tcW w:w="1530" w:type="dxa"/>
          </w:tcPr>
          <w:p w14:paraId="3D6D56B6" w14:textId="77777777" w:rsidR="008E719E" w:rsidRPr="00537125" w:rsidRDefault="008E719E" w:rsidP="00537125">
            <w:pPr>
              <w:jc w:val="center"/>
              <w:rPr>
                <w:rFonts w:ascii="Times New Roman"/>
              </w:rPr>
            </w:pPr>
          </w:p>
        </w:tc>
        <w:tc>
          <w:tcPr>
            <w:tcW w:w="720" w:type="dxa"/>
          </w:tcPr>
          <w:p w14:paraId="26A45903" w14:textId="77777777" w:rsidR="008E719E" w:rsidRPr="00537125" w:rsidRDefault="008E719E" w:rsidP="00537125">
            <w:pPr>
              <w:jc w:val="center"/>
              <w:rPr>
                <w:rFonts w:ascii="Times New Roman"/>
              </w:rPr>
            </w:pPr>
          </w:p>
        </w:tc>
        <w:tc>
          <w:tcPr>
            <w:tcW w:w="1350" w:type="dxa"/>
          </w:tcPr>
          <w:p w14:paraId="09F79A37" w14:textId="77777777" w:rsidR="008E719E" w:rsidRDefault="008E719E" w:rsidP="006673C2">
            <w:pPr>
              <w:jc w:val="center"/>
              <w:rPr>
                <w:rFonts w:ascii="Times New Roman"/>
              </w:rPr>
            </w:pPr>
          </w:p>
        </w:tc>
      </w:tr>
      <w:tr w:rsidR="00581270" w:rsidRPr="00C60C1F" w14:paraId="052C0397" w14:textId="77777777" w:rsidTr="00581270">
        <w:tc>
          <w:tcPr>
            <w:tcW w:w="6660" w:type="dxa"/>
            <w:shd w:val="clear" w:color="auto" w:fill="D99594" w:themeFill="accent2" w:themeFillTint="99"/>
          </w:tcPr>
          <w:p w14:paraId="140CCC01" w14:textId="77777777" w:rsidR="008E719E" w:rsidRPr="00387DA1" w:rsidRDefault="008E719E" w:rsidP="00C60C1F">
            <w:pPr>
              <w:rPr>
                <w:rFonts w:ascii="Times New Roman"/>
                <w:b/>
              </w:rPr>
            </w:pPr>
            <w:r>
              <w:rPr>
                <w:rFonts w:ascii="Times New Roman"/>
                <w:b/>
              </w:rPr>
              <w:t>HUD Announces that Registration is open:</w:t>
            </w:r>
          </w:p>
        </w:tc>
        <w:tc>
          <w:tcPr>
            <w:tcW w:w="630" w:type="dxa"/>
            <w:shd w:val="clear" w:color="auto" w:fill="D99594" w:themeFill="accent2" w:themeFillTint="99"/>
          </w:tcPr>
          <w:p w14:paraId="49FB1083" w14:textId="77777777" w:rsidR="008E719E" w:rsidRPr="00537125" w:rsidRDefault="008E719E" w:rsidP="00537125">
            <w:pPr>
              <w:jc w:val="center"/>
              <w:rPr>
                <w:rFonts w:ascii="Times New Roman"/>
              </w:rPr>
            </w:pPr>
          </w:p>
        </w:tc>
        <w:tc>
          <w:tcPr>
            <w:tcW w:w="1530" w:type="dxa"/>
            <w:shd w:val="clear" w:color="auto" w:fill="D99594" w:themeFill="accent2" w:themeFillTint="99"/>
          </w:tcPr>
          <w:p w14:paraId="3FB55CBD" w14:textId="77777777" w:rsidR="008E719E" w:rsidRPr="00537125" w:rsidRDefault="008E719E" w:rsidP="00537125">
            <w:pPr>
              <w:jc w:val="center"/>
              <w:rPr>
                <w:rFonts w:ascii="Times New Roman"/>
              </w:rPr>
            </w:pPr>
          </w:p>
        </w:tc>
        <w:tc>
          <w:tcPr>
            <w:tcW w:w="720" w:type="dxa"/>
            <w:shd w:val="clear" w:color="auto" w:fill="D99594" w:themeFill="accent2" w:themeFillTint="99"/>
          </w:tcPr>
          <w:p w14:paraId="2BB38EC3" w14:textId="77777777" w:rsidR="008E719E" w:rsidRPr="00537125" w:rsidRDefault="008E719E" w:rsidP="00537125">
            <w:pPr>
              <w:jc w:val="center"/>
              <w:rPr>
                <w:rFonts w:ascii="Times New Roman"/>
              </w:rPr>
            </w:pPr>
          </w:p>
        </w:tc>
        <w:tc>
          <w:tcPr>
            <w:tcW w:w="1350" w:type="dxa"/>
            <w:shd w:val="clear" w:color="auto" w:fill="D99594" w:themeFill="accent2" w:themeFillTint="99"/>
          </w:tcPr>
          <w:p w14:paraId="227888FD" w14:textId="77777777" w:rsidR="008E719E" w:rsidRDefault="008E719E" w:rsidP="006673C2">
            <w:pPr>
              <w:jc w:val="center"/>
              <w:rPr>
                <w:rFonts w:ascii="Times New Roman"/>
              </w:rPr>
            </w:pPr>
          </w:p>
        </w:tc>
      </w:tr>
      <w:tr w:rsidR="008E719E" w:rsidRPr="00C60C1F" w14:paraId="1B6F7382" w14:textId="77777777" w:rsidTr="00581270">
        <w:tc>
          <w:tcPr>
            <w:tcW w:w="6660" w:type="dxa"/>
          </w:tcPr>
          <w:p w14:paraId="04927BBF" w14:textId="77777777" w:rsidR="00212683" w:rsidRPr="00212683" w:rsidRDefault="008E719E" w:rsidP="00212683">
            <w:pPr>
              <w:pStyle w:val="ListParagraph"/>
              <w:numPr>
                <w:ilvl w:val="0"/>
                <w:numId w:val="17"/>
              </w:numPr>
              <w:rPr>
                <w:rFonts w:ascii="Times New Roman"/>
                <w:b/>
                <w:sz w:val="20"/>
                <w:szCs w:val="20"/>
              </w:rPr>
            </w:pPr>
            <w:r w:rsidRPr="008E719E">
              <w:rPr>
                <w:rFonts w:ascii="Times New Roman"/>
                <w:sz w:val="20"/>
                <w:szCs w:val="20"/>
              </w:rPr>
              <w:t>Applicant Profile must be updated in e-snaps</w:t>
            </w:r>
            <w:r w:rsidR="00212683">
              <w:rPr>
                <w:rFonts w:ascii="Times New Roman"/>
                <w:sz w:val="20"/>
                <w:szCs w:val="20"/>
              </w:rPr>
              <w:t>. Primary Contact and any other authorized users must be added in e-snaps and HDX and granted appropriate read/write/submit rights.</w:t>
            </w:r>
          </w:p>
        </w:tc>
        <w:tc>
          <w:tcPr>
            <w:tcW w:w="630" w:type="dxa"/>
          </w:tcPr>
          <w:p w14:paraId="02A1F13C" w14:textId="77777777" w:rsidR="008E719E" w:rsidRPr="00537125" w:rsidRDefault="008E43C3" w:rsidP="00537125">
            <w:pPr>
              <w:jc w:val="center"/>
              <w:rPr>
                <w:rFonts w:ascii="Times New Roman"/>
              </w:rPr>
            </w:pPr>
            <w:r>
              <w:rPr>
                <w:rFonts w:ascii="Times New Roman"/>
              </w:rPr>
              <w:t>X</w:t>
            </w:r>
          </w:p>
        </w:tc>
        <w:tc>
          <w:tcPr>
            <w:tcW w:w="1530" w:type="dxa"/>
          </w:tcPr>
          <w:p w14:paraId="19B029AC" w14:textId="77777777" w:rsidR="008E719E" w:rsidRPr="00537125" w:rsidRDefault="008E719E" w:rsidP="00537125">
            <w:pPr>
              <w:jc w:val="center"/>
              <w:rPr>
                <w:rFonts w:ascii="Times New Roman"/>
              </w:rPr>
            </w:pPr>
          </w:p>
        </w:tc>
        <w:tc>
          <w:tcPr>
            <w:tcW w:w="720" w:type="dxa"/>
          </w:tcPr>
          <w:p w14:paraId="163B58AC" w14:textId="77777777" w:rsidR="008E719E" w:rsidRPr="00537125" w:rsidRDefault="008E719E" w:rsidP="00537125">
            <w:pPr>
              <w:jc w:val="center"/>
              <w:rPr>
                <w:rFonts w:ascii="Times New Roman"/>
              </w:rPr>
            </w:pPr>
          </w:p>
        </w:tc>
        <w:tc>
          <w:tcPr>
            <w:tcW w:w="1350" w:type="dxa"/>
          </w:tcPr>
          <w:p w14:paraId="7DC576E7" w14:textId="77777777" w:rsidR="008E719E" w:rsidRDefault="008E719E" w:rsidP="006673C2">
            <w:pPr>
              <w:jc w:val="center"/>
              <w:rPr>
                <w:rFonts w:ascii="Times New Roman"/>
              </w:rPr>
            </w:pPr>
          </w:p>
        </w:tc>
      </w:tr>
      <w:tr w:rsidR="008E719E" w:rsidRPr="00C60C1F" w14:paraId="54580582" w14:textId="77777777" w:rsidTr="00581270">
        <w:tc>
          <w:tcPr>
            <w:tcW w:w="6660" w:type="dxa"/>
          </w:tcPr>
          <w:p w14:paraId="1DAEF1CF" w14:textId="77777777" w:rsidR="008E719E" w:rsidRPr="008E719E" w:rsidRDefault="008E719E" w:rsidP="008E719E">
            <w:pPr>
              <w:pStyle w:val="ListParagraph"/>
              <w:numPr>
                <w:ilvl w:val="0"/>
                <w:numId w:val="17"/>
              </w:numPr>
              <w:rPr>
                <w:rFonts w:ascii="Times New Roman"/>
                <w:b/>
                <w:sz w:val="20"/>
                <w:szCs w:val="20"/>
              </w:rPr>
            </w:pPr>
            <w:r w:rsidRPr="008E719E">
              <w:rPr>
                <w:rFonts w:ascii="Times New Roman"/>
                <w:sz w:val="20"/>
                <w:szCs w:val="20"/>
              </w:rPr>
              <w:t>Registration must be completed and the ARD must match what is on the HUD Approved GIW</w:t>
            </w:r>
            <w:r w:rsidR="00581270">
              <w:rPr>
                <w:rFonts w:ascii="Times New Roman"/>
                <w:sz w:val="20"/>
                <w:szCs w:val="20"/>
              </w:rPr>
              <w:t xml:space="preserve"> </w:t>
            </w:r>
            <w:r w:rsidR="00581270" w:rsidRPr="00212683">
              <w:rPr>
                <w:rFonts w:ascii="Times New Roman"/>
                <w:sz w:val="20"/>
                <w:szCs w:val="20"/>
                <w:highlight w:val="yellow"/>
              </w:rPr>
              <w:t>(No ARD in 2016 as GIWs not finalized yet)</w:t>
            </w:r>
          </w:p>
        </w:tc>
        <w:tc>
          <w:tcPr>
            <w:tcW w:w="630" w:type="dxa"/>
          </w:tcPr>
          <w:p w14:paraId="5B7F52C9" w14:textId="77777777" w:rsidR="008E719E" w:rsidRPr="00537125" w:rsidRDefault="008E43C3" w:rsidP="00537125">
            <w:pPr>
              <w:jc w:val="center"/>
              <w:rPr>
                <w:rFonts w:ascii="Times New Roman"/>
              </w:rPr>
            </w:pPr>
            <w:r>
              <w:rPr>
                <w:rFonts w:ascii="Times New Roman"/>
              </w:rPr>
              <w:t>X</w:t>
            </w:r>
          </w:p>
        </w:tc>
        <w:tc>
          <w:tcPr>
            <w:tcW w:w="1530" w:type="dxa"/>
          </w:tcPr>
          <w:p w14:paraId="3E97D8E3" w14:textId="77777777" w:rsidR="008E719E" w:rsidRPr="00537125" w:rsidRDefault="008E719E" w:rsidP="00537125">
            <w:pPr>
              <w:jc w:val="center"/>
              <w:rPr>
                <w:rFonts w:ascii="Times New Roman"/>
              </w:rPr>
            </w:pPr>
          </w:p>
        </w:tc>
        <w:tc>
          <w:tcPr>
            <w:tcW w:w="720" w:type="dxa"/>
          </w:tcPr>
          <w:p w14:paraId="62685D92" w14:textId="77777777" w:rsidR="008E719E" w:rsidRPr="00537125" w:rsidRDefault="008E719E" w:rsidP="00537125">
            <w:pPr>
              <w:jc w:val="center"/>
              <w:rPr>
                <w:rFonts w:ascii="Times New Roman"/>
              </w:rPr>
            </w:pPr>
          </w:p>
        </w:tc>
        <w:tc>
          <w:tcPr>
            <w:tcW w:w="1350" w:type="dxa"/>
          </w:tcPr>
          <w:p w14:paraId="58DA9376" w14:textId="77777777" w:rsidR="008E719E" w:rsidRDefault="008E719E" w:rsidP="006673C2">
            <w:pPr>
              <w:jc w:val="center"/>
              <w:rPr>
                <w:rFonts w:ascii="Times New Roman"/>
              </w:rPr>
            </w:pPr>
          </w:p>
        </w:tc>
      </w:tr>
      <w:tr w:rsidR="008E719E" w:rsidRPr="00C60C1F" w14:paraId="08D1AD9D" w14:textId="77777777" w:rsidTr="00581270">
        <w:tc>
          <w:tcPr>
            <w:tcW w:w="6660" w:type="dxa"/>
          </w:tcPr>
          <w:p w14:paraId="4FD83ECB" w14:textId="77777777" w:rsidR="008E719E" w:rsidRPr="008E719E" w:rsidRDefault="008E719E" w:rsidP="008E719E">
            <w:pPr>
              <w:pStyle w:val="ListParagraph"/>
              <w:numPr>
                <w:ilvl w:val="0"/>
                <w:numId w:val="17"/>
              </w:numPr>
              <w:rPr>
                <w:rFonts w:ascii="Times New Roman"/>
                <w:b/>
                <w:sz w:val="20"/>
                <w:szCs w:val="20"/>
              </w:rPr>
            </w:pPr>
            <w:r>
              <w:rPr>
                <w:rFonts w:ascii="Times New Roman"/>
                <w:sz w:val="20"/>
                <w:szCs w:val="20"/>
              </w:rPr>
              <w:t xml:space="preserve">CoC </w:t>
            </w:r>
            <w:r w:rsidR="00581270">
              <w:rPr>
                <w:rFonts w:ascii="Times New Roman"/>
                <w:sz w:val="20"/>
                <w:szCs w:val="20"/>
              </w:rPr>
              <w:t>must vote to approve</w:t>
            </w:r>
            <w:r>
              <w:rPr>
                <w:rFonts w:ascii="Times New Roman"/>
                <w:sz w:val="20"/>
                <w:szCs w:val="20"/>
              </w:rPr>
              <w:t xml:space="preserve"> CA submitting the registration in e-snaps.</w:t>
            </w:r>
          </w:p>
        </w:tc>
        <w:tc>
          <w:tcPr>
            <w:tcW w:w="630" w:type="dxa"/>
          </w:tcPr>
          <w:p w14:paraId="35EDC12C" w14:textId="77777777" w:rsidR="008E719E" w:rsidRPr="00537125" w:rsidRDefault="008E719E" w:rsidP="00537125">
            <w:pPr>
              <w:jc w:val="center"/>
              <w:rPr>
                <w:rFonts w:ascii="Times New Roman"/>
              </w:rPr>
            </w:pPr>
          </w:p>
        </w:tc>
        <w:tc>
          <w:tcPr>
            <w:tcW w:w="1530" w:type="dxa"/>
          </w:tcPr>
          <w:p w14:paraId="7D187D23" w14:textId="77777777" w:rsidR="008E719E" w:rsidRPr="00537125" w:rsidRDefault="008E719E" w:rsidP="00537125">
            <w:pPr>
              <w:jc w:val="center"/>
              <w:rPr>
                <w:rFonts w:ascii="Times New Roman"/>
              </w:rPr>
            </w:pPr>
          </w:p>
        </w:tc>
        <w:tc>
          <w:tcPr>
            <w:tcW w:w="720" w:type="dxa"/>
          </w:tcPr>
          <w:p w14:paraId="2F85A4D9" w14:textId="77777777" w:rsidR="008E719E" w:rsidRPr="00537125" w:rsidRDefault="008E43C3" w:rsidP="00537125">
            <w:pPr>
              <w:jc w:val="center"/>
              <w:rPr>
                <w:rFonts w:ascii="Times New Roman"/>
              </w:rPr>
            </w:pPr>
            <w:r>
              <w:rPr>
                <w:rFonts w:ascii="Times New Roman"/>
              </w:rPr>
              <w:t>X</w:t>
            </w:r>
          </w:p>
        </w:tc>
        <w:tc>
          <w:tcPr>
            <w:tcW w:w="1350" w:type="dxa"/>
          </w:tcPr>
          <w:p w14:paraId="3511D97F" w14:textId="77777777" w:rsidR="008E719E" w:rsidRDefault="008E719E" w:rsidP="006673C2">
            <w:pPr>
              <w:jc w:val="center"/>
              <w:rPr>
                <w:rFonts w:ascii="Times New Roman"/>
              </w:rPr>
            </w:pPr>
          </w:p>
        </w:tc>
      </w:tr>
      <w:tr w:rsidR="008E719E" w:rsidRPr="00C60C1F" w14:paraId="1BB9335B" w14:textId="77777777" w:rsidTr="00581270">
        <w:tc>
          <w:tcPr>
            <w:tcW w:w="6660" w:type="dxa"/>
          </w:tcPr>
          <w:p w14:paraId="6EFE16A8" w14:textId="77777777" w:rsidR="008E719E" w:rsidRPr="008E719E" w:rsidRDefault="008E719E" w:rsidP="00581270">
            <w:pPr>
              <w:pStyle w:val="ListParagraph"/>
              <w:numPr>
                <w:ilvl w:val="0"/>
                <w:numId w:val="17"/>
              </w:numPr>
              <w:rPr>
                <w:rFonts w:ascii="Times New Roman"/>
                <w:b/>
                <w:sz w:val="20"/>
                <w:szCs w:val="20"/>
              </w:rPr>
            </w:pPr>
            <w:r w:rsidRPr="008E719E">
              <w:rPr>
                <w:rFonts w:ascii="Times New Roman"/>
                <w:sz w:val="20"/>
                <w:szCs w:val="20"/>
              </w:rPr>
              <w:t>CA sub</w:t>
            </w:r>
            <w:r w:rsidR="00581270">
              <w:rPr>
                <w:rFonts w:ascii="Times New Roman"/>
                <w:sz w:val="20"/>
                <w:szCs w:val="20"/>
              </w:rPr>
              <w:t>mits registration in e-snaps; prints confirmation of submission.</w:t>
            </w:r>
          </w:p>
        </w:tc>
        <w:tc>
          <w:tcPr>
            <w:tcW w:w="630" w:type="dxa"/>
          </w:tcPr>
          <w:p w14:paraId="24B814D5" w14:textId="77777777" w:rsidR="008E719E" w:rsidRPr="00537125" w:rsidRDefault="008E43C3" w:rsidP="00537125">
            <w:pPr>
              <w:jc w:val="center"/>
              <w:rPr>
                <w:rFonts w:ascii="Times New Roman"/>
              </w:rPr>
            </w:pPr>
            <w:r>
              <w:rPr>
                <w:rFonts w:ascii="Times New Roman"/>
              </w:rPr>
              <w:t>X</w:t>
            </w:r>
          </w:p>
        </w:tc>
        <w:tc>
          <w:tcPr>
            <w:tcW w:w="1530" w:type="dxa"/>
          </w:tcPr>
          <w:p w14:paraId="4503F523" w14:textId="77777777" w:rsidR="008E719E" w:rsidRPr="00537125" w:rsidRDefault="008E719E" w:rsidP="00537125">
            <w:pPr>
              <w:jc w:val="center"/>
              <w:rPr>
                <w:rFonts w:ascii="Times New Roman"/>
              </w:rPr>
            </w:pPr>
          </w:p>
        </w:tc>
        <w:tc>
          <w:tcPr>
            <w:tcW w:w="720" w:type="dxa"/>
          </w:tcPr>
          <w:p w14:paraId="43E01DAD" w14:textId="77777777" w:rsidR="008E719E" w:rsidRPr="00537125" w:rsidRDefault="008E719E" w:rsidP="00537125">
            <w:pPr>
              <w:jc w:val="center"/>
              <w:rPr>
                <w:rFonts w:ascii="Times New Roman"/>
              </w:rPr>
            </w:pPr>
          </w:p>
        </w:tc>
        <w:tc>
          <w:tcPr>
            <w:tcW w:w="1350" w:type="dxa"/>
          </w:tcPr>
          <w:p w14:paraId="07DF4726" w14:textId="77777777" w:rsidR="008E719E" w:rsidRDefault="008E719E" w:rsidP="006673C2">
            <w:pPr>
              <w:jc w:val="center"/>
              <w:rPr>
                <w:rFonts w:ascii="Times New Roman"/>
              </w:rPr>
            </w:pPr>
          </w:p>
        </w:tc>
      </w:tr>
      <w:tr w:rsidR="00581270" w:rsidRPr="00C60C1F" w14:paraId="03DE059D" w14:textId="77777777" w:rsidTr="00581270">
        <w:tc>
          <w:tcPr>
            <w:tcW w:w="6660" w:type="dxa"/>
            <w:shd w:val="clear" w:color="auto" w:fill="D99594" w:themeFill="accent2" w:themeFillTint="99"/>
          </w:tcPr>
          <w:p w14:paraId="2AF3E687" w14:textId="77777777" w:rsidR="008E719E" w:rsidRPr="00387DA1" w:rsidRDefault="008E719E" w:rsidP="008E43C3">
            <w:pPr>
              <w:rPr>
                <w:rFonts w:ascii="Times New Roman"/>
                <w:b/>
              </w:rPr>
            </w:pPr>
            <w:r>
              <w:rPr>
                <w:rFonts w:ascii="Times New Roman"/>
                <w:b/>
              </w:rPr>
              <w:t>HUD Opens the NOFA Competition (60 days to complete</w:t>
            </w:r>
            <w:r w:rsidR="003C3787">
              <w:rPr>
                <w:rFonts w:ascii="Times New Roman"/>
                <w:b/>
              </w:rPr>
              <w:t>)</w:t>
            </w:r>
          </w:p>
        </w:tc>
        <w:tc>
          <w:tcPr>
            <w:tcW w:w="630" w:type="dxa"/>
            <w:shd w:val="clear" w:color="auto" w:fill="D99594" w:themeFill="accent2" w:themeFillTint="99"/>
          </w:tcPr>
          <w:p w14:paraId="69DF92EC" w14:textId="77777777" w:rsidR="008E719E" w:rsidRPr="00537125" w:rsidRDefault="008E719E" w:rsidP="00537125">
            <w:pPr>
              <w:jc w:val="center"/>
              <w:rPr>
                <w:rFonts w:ascii="Times New Roman"/>
              </w:rPr>
            </w:pPr>
          </w:p>
        </w:tc>
        <w:tc>
          <w:tcPr>
            <w:tcW w:w="1530" w:type="dxa"/>
            <w:shd w:val="clear" w:color="auto" w:fill="D99594" w:themeFill="accent2" w:themeFillTint="99"/>
          </w:tcPr>
          <w:p w14:paraId="41144552" w14:textId="77777777" w:rsidR="008E719E" w:rsidRPr="00537125" w:rsidRDefault="008E719E" w:rsidP="00537125">
            <w:pPr>
              <w:jc w:val="center"/>
              <w:rPr>
                <w:rFonts w:ascii="Times New Roman"/>
              </w:rPr>
            </w:pPr>
          </w:p>
        </w:tc>
        <w:tc>
          <w:tcPr>
            <w:tcW w:w="720" w:type="dxa"/>
            <w:shd w:val="clear" w:color="auto" w:fill="D99594" w:themeFill="accent2" w:themeFillTint="99"/>
          </w:tcPr>
          <w:p w14:paraId="41B42F9C" w14:textId="77777777" w:rsidR="008E719E" w:rsidRPr="00537125" w:rsidRDefault="008E719E" w:rsidP="00537125">
            <w:pPr>
              <w:jc w:val="center"/>
              <w:rPr>
                <w:rFonts w:ascii="Times New Roman"/>
              </w:rPr>
            </w:pPr>
          </w:p>
        </w:tc>
        <w:tc>
          <w:tcPr>
            <w:tcW w:w="1350" w:type="dxa"/>
            <w:shd w:val="clear" w:color="auto" w:fill="D99594" w:themeFill="accent2" w:themeFillTint="99"/>
          </w:tcPr>
          <w:p w14:paraId="38933ED3" w14:textId="77777777" w:rsidR="008E719E" w:rsidRDefault="008E719E" w:rsidP="006673C2">
            <w:pPr>
              <w:jc w:val="center"/>
              <w:rPr>
                <w:rFonts w:ascii="Times New Roman"/>
              </w:rPr>
            </w:pPr>
          </w:p>
        </w:tc>
      </w:tr>
      <w:tr w:rsidR="008E719E" w:rsidRPr="00C60C1F" w14:paraId="3770914D" w14:textId="77777777" w:rsidTr="00581270">
        <w:tc>
          <w:tcPr>
            <w:tcW w:w="6660" w:type="dxa"/>
          </w:tcPr>
          <w:p w14:paraId="778A0D28" w14:textId="77777777" w:rsidR="008E719E" w:rsidRPr="00642088" w:rsidRDefault="00642088" w:rsidP="00642088">
            <w:pPr>
              <w:pStyle w:val="ListParagraph"/>
              <w:numPr>
                <w:ilvl w:val="0"/>
                <w:numId w:val="17"/>
              </w:numPr>
              <w:rPr>
                <w:rFonts w:ascii="Times New Roman"/>
                <w:sz w:val="20"/>
                <w:szCs w:val="20"/>
              </w:rPr>
            </w:pPr>
            <w:r w:rsidRPr="00642088">
              <w:rPr>
                <w:rFonts w:ascii="Times New Roman"/>
                <w:sz w:val="20"/>
                <w:szCs w:val="20"/>
              </w:rPr>
              <w:t xml:space="preserve">CA reviews announcement in its entirety </w:t>
            </w:r>
            <w:r w:rsidR="00581270">
              <w:rPr>
                <w:rFonts w:ascii="Times New Roman"/>
                <w:sz w:val="20"/>
                <w:szCs w:val="20"/>
              </w:rPr>
              <w:t>and summarizes any</w:t>
            </w:r>
            <w:r w:rsidRPr="00642088">
              <w:rPr>
                <w:rFonts w:ascii="Times New Roman"/>
                <w:sz w:val="20"/>
                <w:szCs w:val="20"/>
              </w:rPr>
              <w:t xml:space="preserve"> changes</w:t>
            </w:r>
          </w:p>
        </w:tc>
        <w:tc>
          <w:tcPr>
            <w:tcW w:w="630" w:type="dxa"/>
          </w:tcPr>
          <w:p w14:paraId="0627AF6C" w14:textId="77777777" w:rsidR="008E719E" w:rsidRPr="00537125" w:rsidRDefault="008E43C3" w:rsidP="00537125">
            <w:pPr>
              <w:jc w:val="center"/>
              <w:rPr>
                <w:rFonts w:ascii="Times New Roman"/>
              </w:rPr>
            </w:pPr>
            <w:r>
              <w:rPr>
                <w:rFonts w:ascii="Times New Roman"/>
              </w:rPr>
              <w:t>X</w:t>
            </w:r>
          </w:p>
        </w:tc>
        <w:tc>
          <w:tcPr>
            <w:tcW w:w="1530" w:type="dxa"/>
          </w:tcPr>
          <w:p w14:paraId="3B816753" w14:textId="77777777" w:rsidR="008E719E" w:rsidRPr="00537125" w:rsidRDefault="00776D88" w:rsidP="00537125">
            <w:pPr>
              <w:jc w:val="center"/>
              <w:rPr>
                <w:rFonts w:ascii="Times New Roman"/>
              </w:rPr>
            </w:pPr>
            <w:r w:rsidRPr="00776D88">
              <w:rPr>
                <w:rFonts w:ascii="Times New Roman"/>
                <w:highlight w:val="yellow"/>
              </w:rPr>
              <w:t>X</w:t>
            </w:r>
          </w:p>
        </w:tc>
        <w:tc>
          <w:tcPr>
            <w:tcW w:w="720" w:type="dxa"/>
          </w:tcPr>
          <w:p w14:paraId="6E65B19E" w14:textId="77777777" w:rsidR="008E719E" w:rsidRPr="00537125" w:rsidRDefault="008E719E" w:rsidP="00537125">
            <w:pPr>
              <w:jc w:val="center"/>
              <w:rPr>
                <w:rFonts w:ascii="Times New Roman"/>
              </w:rPr>
            </w:pPr>
          </w:p>
        </w:tc>
        <w:tc>
          <w:tcPr>
            <w:tcW w:w="1350" w:type="dxa"/>
          </w:tcPr>
          <w:p w14:paraId="4E5BEBC4" w14:textId="77777777" w:rsidR="008E719E" w:rsidRDefault="008E719E" w:rsidP="006673C2">
            <w:pPr>
              <w:jc w:val="center"/>
              <w:rPr>
                <w:rFonts w:ascii="Times New Roman"/>
              </w:rPr>
            </w:pPr>
          </w:p>
        </w:tc>
      </w:tr>
      <w:tr w:rsidR="008E719E" w:rsidRPr="00C60C1F" w14:paraId="111293A0" w14:textId="77777777" w:rsidTr="00581270">
        <w:tc>
          <w:tcPr>
            <w:tcW w:w="6660" w:type="dxa"/>
          </w:tcPr>
          <w:p w14:paraId="7482FB4E" w14:textId="77777777" w:rsidR="008E719E" w:rsidRPr="00622711" w:rsidRDefault="00642088" w:rsidP="00642088">
            <w:pPr>
              <w:pStyle w:val="ListParagraph"/>
              <w:numPr>
                <w:ilvl w:val="0"/>
                <w:numId w:val="17"/>
              </w:numPr>
              <w:rPr>
                <w:rFonts w:ascii="Times New Roman"/>
                <w:sz w:val="20"/>
                <w:szCs w:val="20"/>
              </w:rPr>
            </w:pPr>
            <w:r w:rsidRPr="00622711">
              <w:rPr>
                <w:rFonts w:ascii="Times New Roman"/>
                <w:sz w:val="20"/>
                <w:szCs w:val="20"/>
              </w:rPr>
              <w:t>CoC needs to determine if they will reallocate and how much</w:t>
            </w:r>
          </w:p>
        </w:tc>
        <w:tc>
          <w:tcPr>
            <w:tcW w:w="630" w:type="dxa"/>
          </w:tcPr>
          <w:p w14:paraId="5FEFD259" w14:textId="77777777" w:rsidR="008E719E" w:rsidRPr="00537125" w:rsidRDefault="008E719E" w:rsidP="00537125">
            <w:pPr>
              <w:jc w:val="center"/>
              <w:rPr>
                <w:rFonts w:ascii="Times New Roman"/>
              </w:rPr>
            </w:pPr>
          </w:p>
        </w:tc>
        <w:tc>
          <w:tcPr>
            <w:tcW w:w="1530" w:type="dxa"/>
          </w:tcPr>
          <w:p w14:paraId="0E6599A5" w14:textId="77777777" w:rsidR="008E719E" w:rsidRPr="00537125" w:rsidRDefault="008E719E" w:rsidP="00537125">
            <w:pPr>
              <w:jc w:val="center"/>
              <w:rPr>
                <w:rFonts w:ascii="Times New Roman"/>
              </w:rPr>
            </w:pPr>
          </w:p>
        </w:tc>
        <w:tc>
          <w:tcPr>
            <w:tcW w:w="720" w:type="dxa"/>
          </w:tcPr>
          <w:p w14:paraId="6AC40556" w14:textId="77777777" w:rsidR="008E719E" w:rsidRPr="00537125" w:rsidRDefault="008E43C3" w:rsidP="00537125">
            <w:pPr>
              <w:jc w:val="center"/>
              <w:rPr>
                <w:rFonts w:ascii="Times New Roman"/>
              </w:rPr>
            </w:pPr>
            <w:r>
              <w:rPr>
                <w:rFonts w:ascii="Times New Roman"/>
              </w:rPr>
              <w:t>X</w:t>
            </w:r>
          </w:p>
        </w:tc>
        <w:tc>
          <w:tcPr>
            <w:tcW w:w="1350" w:type="dxa"/>
          </w:tcPr>
          <w:p w14:paraId="7D0DAF7F" w14:textId="77777777" w:rsidR="008E719E" w:rsidRDefault="008E719E" w:rsidP="006673C2">
            <w:pPr>
              <w:jc w:val="center"/>
              <w:rPr>
                <w:rFonts w:ascii="Times New Roman"/>
              </w:rPr>
            </w:pPr>
          </w:p>
        </w:tc>
      </w:tr>
      <w:tr w:rsidR="00C02777" w:rsidRPr="00C60C1F" w14:paraId="77B493D4" w14:textId="77777777" w:rsidTr="00581270">
        <w:tc>
          <w:tcPr>
            <w:tcW w:w="6660" w:type="dxa"/>
          </w:tcPr>
          <w:p w14:paraId="10B6179A" w14:textId="77777777" w:rsidR="00C02777" w:rsidRDefault="00C02777" w:rsidP="00AC576F">
            <w:pPr>
              <w:pStyle w:val="ListParagraph"/>
              <w:numPr>
                <w:ilvl w:val="0"/>
                <w:numId w:val="17"/>
              </w:numPr>
              <w:rPr>
                <w:rFonts w:ascii="Times New Roman"/>
                <w:sz w:val="20"/>
                <w:szCs w:val="20"/>
              </w:rPr>
            </w:pPr>
            <w:r>
              <w:rPr>
                <w:rFonts w:ascii="Times New Roman"/>
                <w:sz w:val="20"/>
                <w:szCs w:val="20"/>
              </w:rPr>
              <w:t>CA may hire a consultant to assist with some sections of the NOFA.</w:t>
            </w:r>
          </w:p>
        </w:tc>
        <w:tc>
          <w:tcPr>
            <w:tcW w:w="630" w:type="dxa"/>
          </w:tcPr>
          <w:p w14:paraId="34B42472" w14:textId="77777777" w:rsidR="00C02777" w:rsidRPr="00537125" w:rsidRDefault="008E43C3" w:rsidP="00537125">
            <w:pPr>
              <w:jc w:val="center"/>
              <w:rPr>
                <w:rFonts w:ascii="Times New Roman"/>
              </w:rPr>
            </w:pPr>
            <w:r>
              <w:rPr>
                <w:rFonts w:ascii="Times New Roman"/>
              </w:rPr>
              <w:t>X</w:t>
            </w:r>
          </w:p>
        </w:tc>
        <w:tc>
          <w:tcPr>
            <w:tcW w:w="1530" w:type="dxa"/>
          </w:tcPr>
          <w:p w14:paraId="7DE6F769" w14:textId="77777777" w:rsidR="00C02777" w:rsidRPr="00537125" w:rsidRDefault="008E43C3" w:rsidP="00537125">
            <w:pPr>
              <w:jc w:val="center"/>
              <w:rPr>
                <w:rFonts w:ascii="Times New Roman"/>
              </w:rPr>
            </w:pPr>
            <w:r>
              <w:rPr>
                <w:rFonts w:ascii="Times New Roman"/>
              </w:rPr>
              <w:t>X</w:t>
            </w:r>
          </w:p>
        </w:tc>
        <w:tc>
          <w:tcPr>
            <w:tcW w:w="720" w:type="dxa"/>
          </w:tcPr>
          <w:p w14:paraId="20AE7AB9" w14:textId="77777777" w:rsidR="00C02777" w:rsidRPr="00537125" w:rsidRDefault="00C02777" w:rsidP="00537125">
            <w:pPr>
              <w:jc w:val="center"/>
              <w:rPr>
                <w:rFonts w:ascii="Times New Roman"/>
              </w:rPr>
            </w:pPr>
          </w:p>
        </w:tc>
        <w:tc>
          <w:tcPr>
            <w:tcW w:w="1350" w:type="dxa"/>
          </w:tcPr>
          <w:p w14:paraId="60A6BD2F" w14:textId="77777777" w:rsidR="00C02777" w:rsidRDefault="00C02777" w:rsidP="006673C2">
            <w:pPr>
              <w:jc w:val="center"/>
              <w:rPr>
                <w:rFonts w:ascii="Times New Roman"/>
              </w:rPr>
            </w:pPr>
          </w:p>
        </w:tc>
      </w:tr>
      <w:tr w:rsidR="00C02777" w:rsidRPr="00C60C1F" w14:paraId="445D27AB" w14:textId="77777777" w:rsidTr="00581270">
        <w:tc>
          <w:tcPr>
            <w:tcW w:w="6660" w:type="dxa"/>
          </w:tcPr>
          <w:p w14:paraId="65983176" w14:textId="77777777" w:rsidR="00C02777" w:rsidRDefault="00AC576F" w:rsidP="00AC576F">
            <w:pPr>
              <w:pStyle w:val="ListParagraph"/>
              <w:numPr>
                <w:ilvl w:val="0"/>
                <w:numId w:val="17"/>
              </w:numPr>
              <w:rPr>
                <w:rFonts w:ascii="Times New Roman"/>
                <w:sz w:val="20"/>
                <w:szCs w:val="20"/>
              </w:rPr>
            </w:pPr>
            <w:r>
              <w:rPr>
                <w:rFonts w:ascii="Times New Roman"/>
                <w:sz w:val="20"/>
                <w:szCs w:val="20"/>
              </w:rPr>
              <w:t>CA develops</w:t>
            </w:r>
            <w:r w:rsidR="00C02777">
              <w:rPr>
                <w:rFonts w:ascii="Times New Roman"/>
                <w:sz w:val="20"/>
                <w:szCs w:val="20"/>
              </w:rPr>
              <w:t xml:space="preserve"> timeline for due dates </w:t>
            </w:r>
            <w:r>
              <w:rPr>
                <w:rFonts w:ascii="Times New Roman"/>
                <w:sz w:val="20"/>
                <w:szCs w:val="20"/>
              </w:rPr>
              <w:t>with</w:t>
            </w:r>
            <w:r w:rsidR="00C02777">
              <w:rPr>
                <w:rFonts w:ascii="Times New Roman"/>
                <w:sz w:val="20"/>
                <w:szCs w:val="20"/>
              </w:rPr>
              <w:t xml:space="preserve"> i</w:t>
            </w:r>
            <w:r>
              <w:rPr>
                <w:rFonts w:ascii="Times New Roman"/>
                <w:sz w:val="20"/>
                <w:szCs w:val="20"/>
              </w:rPr>
              <w:t>nput from the Steering Com</w:t>
            </w:r>
            <w:r w:rsidR="00C02777">
              <w:rPr>
                <w:rFonts w:ascii="Times New Roman"/>
                <w:sz w:val="20"/>
                <w:szCs w:val="20"/>
              </w:rPr>
              <w:t>.</w:t>
            </w:r>
          </w:p>
        </w:tc>
        <w:tc>
          <w:tcPr>
            <w:tcW w:w="630" w:type="dxa"/>
          </w:tcPr>
          <w:p w14:paraId="1AAE690A" w14:textId="77777777" w:rsidR="00C02777" w:rsidRPr="00537125" w:rsidRDefault="008E43C3" w:rsidP="00537125">
            <w:pPr>
              <w:jc w:val="center"/>
              <w:rPr>
                <w:rFonts w:ascii="Times New Roman"/>
              </w:rPr>
            </w:pPr>
            <w:r>
              <w:rPr>
                <w:rFonts w:ascii="Times New Roman"/>
              </w:rPr>
              <w:t>X</w:t>
            </w:r>
          </w:p>
        </w:tc>
        <w:tc>
          <w:tcPr>
            <w:tcW w:w="1530" w:type="dxa"/>
          </w:tcPr>
          <w:p w14:paraId="30007110" w14:textId="77777777" w:rsidR="00C02777" w:rsidRPr="00537125" w:rsidRDefault="00C02777" w:rsidP="00537125">
            <w:pPr>
              <w:jc w:val="center"/>
              <w:rPr>
                <w:rFonts w:ascii="Times New Roman"/>
              </w:rPr>
            </w:pPr>
          </w:p>
        </w:tc>
        <w:tc>
          <w:tcPr>
            <w:tcW w:w="720" w:type="dxa"/>
          </w:tcPr>
          <w:p w14:paraId="1BFE30C8" w14:textId="77777777" w:rsidR="00C02777" w:rsidRPr="00537125" w:rsidRDefault="00C02777" w:rsidP="00537125">
            <w:pPr>
              <w:jc w:val="center"/>
              <w:rPr>
                <w:rFonts w:ascii="Times New Roman"/>
              </w:rPr>
            </w:pPr>
          </w:p>
        </w:tc>
        <w:tc>
          <w:tcPr>
            <w:tcW w:w="1350" w:type="dxa"/>
          </w:tcPr>
          <w:p w14:paraId="01A22474" w14:textId="77777777" w:rsidR="00C02777" w:rsidRDefault="004A6AD8" w:rsidP="006673C2">
            <w:pPr>
              <w:jc w:val="center"/>
              <w:rPr>
                <w:rFonts w:ascii="Times New Roman"/>
              </w:rPr>
            </w:pPr>
            <w:r>
              <w:rPr>
                <w:rFonts w:ascii="Times New Roman"/>
              </w:rPr>
              <w:t>X</w:t>
            </w:r>
          </w:p>
        </w:tc>
      </w:tr>
      <w:tr w:rsidR="008E719E" w:rsidRPr="00C60C1F" w14:paraId="07D7AC32" w14:textId="77777777" w:rsidTr="00581270">
        <w:tc>
          <w:tcPr>
            <w:tcW w:w="6660" w:type="dxa"/>
          </w:tcPr>
          <w:p w14:paraId="44C7A76F" w14:textId="77777777" w:rsidR="008E719E" w:rsidRPr="00642088" w:rsidRDefault="00642088" w:rsidP="00642088">
            <w:pPr>
              <w:pStyle w:val="ListParagraph"/>
              <w:numPr>
                <w:ilvl w:val="0"/>
                <w:numId w:val="17"/>
              </w:numPr>
              <w:rPr>
                <w:rFonts w:ascii="Times New Roman"/>
                <w:sz w:val="20"/>
                <w:szCs w:val="20"/>
              </w:rPr>
            </w:pPr>
            <w:r>
              <w:rPr>
                <w:rFonts w:ascii="Times New Roman"/>
                <w:sz w:val="20"/>
                <w:szCs w:val="20"/>
              </w:rPr>
              <w:t>CA send</w:t>
            </w:r>
            <w:r w:rsidR="00776D88">
              <w:rPr>
                <w:rFonts w:ascii="Times New Roman"/>
                <w:sz w:val="20"/>
                <w:szCs w:val="20"/>
              </w:rPr>
              <w:t>s out announcement for New and R</w:t>
            </w:r>
            <w:r>
              <w:rPr>
                <w:rFonts w:ascii="Times New Roman"/>
                <w:sz w:val="20"/>
                <w:szCs w:val="20"/>
              </w:rPr>
              <w:t xml:space="preserve">enewal </w:t>
            </w:r>
            <w:r w:rsidRPr="00622711">
              <w:rPr>
                <w:rFonts w:ascii="Times New Roman"/>
                <w:sz w:val="20"/>
                <w:szCs w:val="20"/>
              </w:rPr>
              <w:t>projects</w:t>
            </w:r>
            <w:r w:rsidRPr="003C3787">
              <w:rPr>
                <w:rFonts w:ascii="Times New Roman"/>
                <w:b/>
                <w:sz w:val="20"/>
                <w:szCs w:val="20"/>
              </w:rPr>
              <w:t xml:space="preserve"> </w:t>
            </w:r>
            <w:r>
              <w:rPr>
                <w:rFonts w:ascii="Times New Roman"/>
                <w:sz w:val="20"/>
                <w:szCs w:val="20"/>
              </w:rPr>
              <w:t xml:space="preserve">indicating they </w:t>
            </w:r>
            <w:r w:rsidRPr="003C3787">
              <w:rPr>
                <w:rFonts w:ascii="Times New Roman"/>
                <w:b/>
                <w:sz w:val="20"/>
                <w:szCs w:val="20"/>
              </w:rPr>
              <w:t>have 30 days to submit their applications in e-snaps.</w:t>
            </w:r>
            <w:r w:rsidR="00C02777">
              <w:rPr>
                <w:rFonts w:ascii="Times New Roman"/>
                <w:sz w:val="20"/>
                <w:szCs w:val="20"/>
              </w:rPr>
              <w:t xml:space="preserve"> </w:t>
            </w:r>
          </w:p>
        </w:tc>
        <w:tc>
          <w:tcPr>
            <w:tcW w:w="630" w:type="dxa"/>
          </w:tcPr>
          <w:p w14:paraId="3A6F2A3C" w14:textId="77777777" w:rsidR="008E719E" w:rsidRPr="00537125" w:rsidRDefault="008E43C3" w:rsidP="00537125">
            <w:pPr>
              <w:jc w:val="center"/>
              <w:rPr>
                <w:rFonts w:ascii="Times New Roman"/>
              </w:rPr>
            </w:pPr>
            <w:r>
              <w:rPr>
                <w:rFonts w:ascii="Times New Roman"/>
              </w:rPr>
              <w:t>X</w:t>
            </w:r>
          </w:p>
        </w:tc>
        <w:tc>
          <w:tcPr>
            <w:tcW w:w="1530" w:type="dxa"/>
          </w:tcPr>
          <w:p w14:paraId="55B422A0" w14:textId="77777777" w:rsidR="008E719E" w:rsidRPr="00537125" w:rsidRDefault="008E719E" w:rsidP="00537125">
            <w:pPr>
              <w:jc w:val="center"/>
              <w:rPr>
                <w:rFonts w:ascii="Times New Roman"/>
              </w:rPr>
            </w:pPr>
          </w:p>
        </w:tc>
        <w:tc>
          <w:tcPr>
            <w:tcW w:w="720" w:type="dxa"/>
          </w:tcPr>
          <w:p w14:paraId="7AA1445D" w14:textId="77777777" w:rsidR="008E719E" w:rsidRPr="00537125" w:rsidRDefault="004A6AD8" w:rsidP="00537125">
            <w:pPr>
              <w:jc w:val="center"/>
              <w:rPr>
                <w:rFonts w:ascii="Times New Roman"/>
              </w:rPr>
            </w:pPr>
            <w:r>
              <w:rPr>
                <w:rFonts w:ascii="Times New Roman"/>
              </w:rPr>
              <w:t>X</w:t>
            </w:r>
          </w:p>
        </w:tc>
        <w:tc>
          <w:tcPr>
            <w:tcW w:w="1350" w:type="dxa"/>
          </w:tcPr>
          <w:p w14:paraId="17C8A7BD" w14:textId="77777777" w:rsidR="008E719E" w:rsidRDefault="008E719E" w:rsidP="006673C2">
            <w:pPr>
              <w:jc w:val="center"/>
              <w:rPr>
                <w:rFonts w:ascii="Times New Roman"/>
              </w:rPr>
            </w:pPr>
          </w:p>
        </w:tc>
      </w:tr>
      <w:tr w:rsidR="008E719E" w:rsidRPr="00C60C1F" w14:paraId="62F18AAC" w14:textId="77777777" w:rsidTr="00581270">
        <w:tc>
          <w:tcPr>
            <w:tcW w:w="6660" w:type="dxa"/>
          </w:tcPr>
          <w:p w14:paraId="77F5A5EB" w14:textId="77777777" w:rsidR="00DB4814" w:rsidRPr="00DB4814" w:rsidRDefault="00C02777" w:rsidP="00DB4814">
            <w:pPr>
              <w:pStyle w:val="ListParagraph"/>
              <w:numPr>
                <w:ilvl w:val="0"/>
                <w:numId w:val="17"/>
              </w:numPr>
              <w:rPr>
                <w:rFonts w:ascii="Times New Roman"/>
                <w:sz w:val="20"/>
                <w:szCs w:val="20"/>
              </w:rPr>
            </w:pPr>
            <w:r w:rsidRPr="00F239DE">
              <w:rPr>
                <w:rFonts w:ascii="Times New Roman"/>
                <w:sz w:val="20"/>
                <w:szCs w:val="20"/>
                <w:highlight w:val="green"/>
              </w:rPr>
              <w:t>CoC Project Committee and CA review applications for MATCH, completeness and</w:t>
            </w:r>
            <w:r w:rsidR="00AC576F" w:rsidRPr="00F239DE">
              <w:rPr>
                <w:rFonts w:ascii="Times New Roman"/>
                <w:sz w:val="20"/>
                <w:szCs w:val="20"/>
                <w:highlight w:val="green"/>
              </w:rPr>
              <w:t xml:space="preserve"> to</w:t>
            </w:r>
            <w:r w:rsidRPr="00F239DE">
              <w:rPr>
                <w:rFonts w:ascii="Times New Roman"/>
                <w:sz w:val="20"/>
                <w:szCs w:val="20"/>
                <w:highlight w:val="green"/>
              </w:rPr>
              <w:t xml:space="preserve"> ensure </w:t>
            </w:r>
            <w:r w:rsidR="00AC576F" w:rsidRPr="00F239DE">
              <w:rPr>
                <w:rFonts w:ascii="Times New Roman"/>
                <w:sz w:val="20"/>
                <w:szCs w:val="20"/>
                <w:highlight w:val="green"/>
              </w:rPr>
              <w:t xml:space="preserve">proper </w:t>
            </w:r>
            <w:r w:rsidRPr="00F239DE">
              <w:rPr>
                <w:rFonts w:ascii="Times New Roman"/>
                <w:sz w:val="20"/>
                <w:szCs w:val="20"/>
                <w:highlight w:val="green"/>
              </w:rPr>
              <w:t>attachments are submitted.</w:t>
            </w:r>
          </w:p>
        </w:tc>
        <w:tc>
          <w:tcPr>
            <w:tcW w:w="630" w:type="dxa"/>
          </w:tcPr>
          <w:p w14:paraId="25EB2B93" w14:textId="77777777" w:rsidR="008E719E" w:rsidRPr="00537125" w:rsidRDefault="008E43C3" w:rsidP="00537125">
            <w:pPr>
              <w:jc w:val="center"/>
              <w:rPr>
                <w:rFonts w:ascii="Times New Roman"/>
              </w:rPr>
            </w:pPr>
            <w:r>
              <w:rPr>
                <w:rFonts w:ascii="Times New Roman"/>
              </w:rPr>
              <w:t>X</w:t>
            </w:r>
          </w:p>
        </w:tc>
        <w:tc>
          <w:tcPr>
            <w:tcW w:w="1530" w:type="dxa"/>
          </w:tcPr>
          <w:p w14:paraId="49F35BFA" w14:textId="77777777" w:rsidR="008E719E" w:rsidRPr="00537125" w:rsidRDefault="00776D88" w:rsidP="00537125">
            <w:pPr>
              <w:jc w:val="center"/>
              <w:rPr>
                <w:rFonts w:ascii="Times New Roman"/>
              </w:rPr>
            </w:pPr>
            <w:r w:rsidRPr="00776D88">
              <w:rPr>
                <w:rFonts w:ascii="Times New Roman"/>
                <w:highlight w:val="yellow"/>
              </w:rPr>
              <w:t>X</w:t>
            </w:r>
          </w:p>
        </w:tc>
        <w:tc>
          <w:tcPr>
            <w:tcW w:w="720" w:type="dxa"/>
          </w:tcPr>
          <w:p w14:paraId="181C5ACB" w14:textId="77777777" w:rsidR="008E719E" w:rsidRPr="00537125" w:rsidRDefault="008E719E" w:rsidP="00537125">
            <w:pPr>
              <w:jc w:val="center"/>
              <w:rPr>
                <w:rFonts w:ascii="Times New Roman"/>
              </w:rPr>
            </w:pPr>
          </w:p>
        </w:tc>
        <w:tc>
          <w:tcPr>
            <w:tcW w:w="1350" w:type="dxa"/>
          </w:tcPr>
          <w:p w14:paraId="12D3D07A" w14:textId="77777777" w:rsidR="008E719E" w:rsidRDefault="008E43C3" w:rsidP="006673C2">
            <w:pPr>
              <w:jc w:val="center"/>
              <w:rPr>
                <w:rFonts w:ascii="Times New Roman"/>
              </w:rPr>
            </w:pPr>
            <w:r>
              <w:rPr>
                <w:rFonts w:ascii="Times New Roman"/>
              </w:rPr>
              <w:t>X</w:t>
            </w:r>
          </w:p>
        </w:tc>
      </w:tr>
      <w:tr w:rsidR="00642088" w:rsidRPr="00C60C1F" w14:paraId="11C42CDB" w14:textId="77777777" w:rsidTr="00581270">
        <w:tc>
          <w:tcPr>
            <w:tcW w:w="6660" w:type="dxa"/>
          </w:tcPr>
          <w:p w14:paraId="6761C4B8" w14:textId="77777777" w:rsidR="00642088" w:rsidRPr="00C02777" w:rsidRDefault="00C02777" w:rsidP="00C02777">
            <w:pPr>
              <w:pStyle w:val="ListParagraph"/>
              <w:numPr>
                <w:ilvl w:val="0"/>
                <w:numId w:val="17"/>
              </w:numPr>
              <w:rPr>
                <w:rFonts w:ascii="Times New Roman"/>
                <w:sz w:val="20"/>
                <w:szCs w:val="20"/>
              </w:rPr>
            </w:pPr>
            <w:r>
              <w:rPr>
                <w:rFonts w:ascii="Times New Roman"/>
                <w:sz w:val="20"/>
                <w:szCs w:val="20"/>
              </w:rPr>
              <w:t>CA releases all applications back to projects if their budgets do not match the HUD Approved GIW and gives timeline to resubmit</w:t>
            </w:r>
          </w:p>
        </w:tc>
        <w:tc>
          <w:tcPr>
            <w:tcW w:w="630" w:type="dxa"/>
          </w:tcPr>
          <w:p w14:paraId="2CC4B7B0" w14:textId="77777777" w:rsidR="00642088" w:rsidRPr="00537125" w:rsidRDefault="008E43C3" w:rsidP="00537125">
            <w:pPr>
              <w:jc w:val="center"/>
              <w:rPr>
                <w:rFonts w:ascii="Times New Roman"/>
              </w:rPr>
            </w:pPr>
            <w:r>
              <w:rPr>
                <w:rFonts w:ascii="Times New Roman"/>
              </w:rPr>
              <w:t>X</w:t>
            </w:r>
          </w:p>
        </w:tc>
        <w:tc>
          <w:tcPr>
            <w:tcW w:w="1530" w:type="dxa"/>
          </w:tcPr>
          <w:p w14:paraId="11C7A38C" w14:textId="77777777" w:rsidR="00642088" w:rsidRPr="00537125" w:rsidRDefault="00642088" w:rsidP="00537125">
            <w:pPr>
              <w:jc w:val="center"/>
              <w:rPr>
                <w:rFonts w:ascii="Times New Roman"/>
              </w:rPr>
            </w:pPr>
          </w:p>
        </w:tc>
        <w:tc>
          <w:tcPr>
            <w:tcW w:w="720" w:type="dxa"/>
          </w:tcPr>
          <w:p w14:paraId="32D9E5B6" w14:textId="77777777" w:rsidR="00642088" w:rsidRPr="00537125" w:rsidRDefault="004A6AD8" w:rsidP="00537125">
            <w:pPr>
              <w:jc w:val="center"/>
              <w:rPr>
                <w:rFonts w:ascii="Times New Roman"/>
              </w:rPr>
            </w:pPr>
            <w:r>
              <w:rPr>
                <w:rFonts w:ascii="Times New Roman"/>
              </w:rPr>
              <w:t>X</w:t>
            </w:r>
          </w:p>
        </w:tc>
        <w:tc>
          <w:tcPr>
            <w:tcW w:w="1350" w:type="dxa"/>
          </w:tcPr>
          <w:p w14:paraId="6C4E4544" w14:textId="77777777" w:rsidR="00642088" w:rsidRDefault="00642088" w:rsidP="006673C2">
            <w:pPr>
              <w:jc w:val="center"/>
              <w:rPr>
                <w:rFonts w:ascii="Times New Roman"/>
              </w:rPr>
            </w:pPr>
          </w:p>
        </w:tc>
      </w:tr>
      <w:tr w:rsidR="00642088" w:rsidRPr="00C60C1F" w14:paraId="7217924F" w14:textId="77777777" w:rsidTr="00581270">
        <w:tc>
          <w:tcPr>
            <w:tcW w:w="6660" w:type="dxa"/>
          </w:tcPr>
          <w:p w14:paraId="2DF97772" w14:textId="77777777" w:rsidR="00642088" w:rsidRPr="00C02777" w:rsidRDefault="00C02777" w:rsidP="00C02777">
            <w:pPr>
              <w:pStyle w:val="ListParagraph"/>
              <w:numPr>
                <w:ilvl w:val="0"/>
                <w:numId w:val="17"/>
              </w:numPr>
              <w:rPr>
                <w:rFonts w:ascii="Times New Roman"/>
                <w:sz w:val="20"/>
                <w:szCs w:val="20"/>
              </w:rPr>
            </w:pPr>
            <w:r>
              <w:rPr>
                <w:rFonts w:ascii="Times New Roman"/>
                <w:sz w:val="20"/>
                <w:szCs w:val="20"/>
              </w:rPr>
              <w:t>CA monitors all timeframes, identifies areas of concern and brings to the Project or Steering Committee for resolution.</w:t>
            </w:r>
          </w:p>
        </w:tc>
        <w:tc>
          <w:tcPr>
            <w:tcW w:w="630" w:type="dxa"/>
          </w:tcPr>
          <w:p w14:paraId="5668187E" w14:textId="77777777" w:rsidR="00642088" w:rsidRPr="00537125" w:rsidRDefault="008E43C3" w:rsidP="00537125">
            <w:pPr>
              <w:jc w:val="center"/>
              <w:rPr>
                <w:rFonts w:ascii="Times New Roman"/>
              </w:rPr>
            </w:pPr>
            <w:r>
              <w:rPr>
                <w:rFonts w:ascii="Times New Roman"/>
              </w:rPr>
              <w:t>X</w:t>
            </w:r>
          </w:p>
        </w:tc>
        <w:tc>
          <w:tcPr>
            <w:tcW w:w="1530" w:type="dxa"/>
          </w:tcPr>
          <w:p w14:paraId="72808FEF" w14:textId="77777777" w:rsidR="00642088" w:rsidRPr="00537125" w:rsidRDefault="00642088" w:rsidP="00537125">
            <w:pPr>
              <w:jc w:val="center"/>
              <w:rPr>
                <w:rFonts w:ascii="Times New Roman"/>
              </w:rPr>
            </w:pPr>
          </w:p>
        </w:tc>
        <w:tc>
          <w:tcPr>
            <w:tcW w:w="720" w:type="dxa"/>
          </w:tcPr>
          <w:p w14:paraId="491EAED2" w14:textId="77777777" w:rsidR="00642088" w:rsidRPr="00537125" w:rsidRDefault="00642088" w:rsidP="00537125">
            <w:pPr>
              <w:jc w:val="center"/>
              <w:rPr>
                <w:rFonts w:ascii="Times New Roman"/>
              </w:rPr>
            </w:pPr>
          </w:p>
        </w:tc>
        <w:tc>
          <w:tcPr>
            <w:tcW w:w="1350" w:type="dxa"/>
          </w:tcPr>
          <w:p w14:paraId="392596D1" w14:textId="77777777" w:rsidR="00642088" w:rsidRDefault="008E43C3" w:rsidP="006673C2">
            <w:pPr>
              <w:jc w:val="center"/>
              <w:rPr>
                <w:rFonts w:ascii="Times New Roman"/>
              </w:rPr>
            </w:pPr>
            <w:r>
              <w:rPr>
                <w:rFonts w:ascii="Times New Roman"/>
              </w:rPr>
              <w:t>X</w:t>
            </w:r>
          </w:p>
        </w:tc>
      </w:tr>
      <w:tr w:rsidR="00581270" w:rsidRPr="00C60C1F" w14:paraId="7727C368" w14:textId="77777777" w:rsidTr="00581270">
        <w:tc>
          <w:tcPr>
            <w:tcW w:w="6660" w:type="dxa"/>
            <w:shd w:val="clear" w:color="auto" w:fill="D99594" w:themeFill="accent2" w:themeFillTint="99"/>
          </w:tcPr>
          <w:p w14:paraId="0D54DE5B" w14:textId="77777777" w:rsidR="00642088" w:rsidRPr="00642088" w:rsidRDefault="00C02777" w:rsidP="00C60C1F">
            <w:pPr>
              <w:rPr>
                <w:rFonts w:ascii="Times New Roman"/>
                <w:sz w:val="20"/>
                <w:szCs w:val="20"/>
              </w:rPr>
            </w:pPr>
            <w:r>
              <w:rPr>
                <w:rFonts w:ascii="Times New Roman"/>
                <w:b/>
              </w:rPr>
              <w:t>Project Priority Listing</w:t>
            </w:r>
          </w:p>
        </w:tc>
        <w:tc>
          <w:tcPr>
            <w:tcW w:w="630" w:type="dxa"/>
            <w:shd w:val="clear" w:color="auto" w:fill="D99594" w:themeFill="accent2" w:themeFillTint="99"/>
          </w:tcPr>
          <w:p w14:paraId="0BE31411" w14:textId="77777777" w:rsidR="00642088" w:rsidRPr="00537125" w:rsidRDefault="00642088" w:rsidP="00537125">
            <w:pPr>
              <w:jc w:val="center"/>
              <w:rPr>
                <w:rFonts w:ascii="Times New Roman"/>
              </w:rPr>
            </w:pPr>
          </w:p>
        </w:tc>
        <w:tc>
          <w:tcPr>
            <w:tcW w:w="1530" w:type="dxa"/>
            <w:shd w:val="clear" w:color="auto" w:fill="D99594" w:themeFill="accent2" w:themeFillTint="99"/>
          </w:tcPr>
          <w:p w14:paraId="21857CD6" w14:textId="77777777" w:rsidR="00642088" w:rsidRPr="00537125" w:rsidRDefault="00642088" w:rsidP="00537125">
            <w:pPr>
              <w:jc w:val="center"/>
              <w:rPr>
                <w:rFonts w:ascii="Times New Roman"/>
              </w:rPr>
            </w:pPr>
          </w:p>
        </w:tc>
        <w:tc>
          <w:tcPr>
            <w:tcW w:w="720" w:type="dxa"/>
            <w:shd w:val="clear" w:color="auto" w:fill="D99594" w:themeFill="accent2" w:themeFillTint="99"/>
          </w:tcPr>
          <w:p w14:paraId="1912DB1C" w14:textId="77777777" w:rsidR="00642088" w:rsidRPr="00537125" w:rsidRDefault="00642088" w:rsidP="00537125">
            <w:pPr>
              <w:jc w:val="center"/>
              <w:rPr>
                <w:rFonts w:ascii="Times New Roman"/>
              </w:rPr>
            </w:pPr>
          </w:p>
        </w:tc>
        <w:tc>
          <w:tcPr>
            <w:tcW w:w="1350" w:type="dxa"/>
            <w:shd w:val="clear" w:color="auto" w:fill="D99594" w:themeFill="accent2" w:themeFillTint="99"/>
          </w:tcPr>
          <w:p w14:paraId="036C91F3" w14:textId="77777777" w:rsidR="00642088" w:rsidRDefault="00642088" w:rsidP="006673C2">
            <w:pPr>
              <w:jc w:val="center"/>
              <w:rPr>
                <w:rFonts w:ascii="Times New Roman"/>
              </w:rPr>
            </w:pPr>
          </w:p>
        </w:tc>
      </w:tr>
      <w:tr w:rsidR="00C02777" w:rsidRPr="00C60C1F" w14:paraId="27C615F5" w14:textId="77777777" w:rsidTr="00581270">
        <w:tc>
          <w:tcPr>
            <w:tcW w:w="6660" w:type="dxa"/>
          </w:tcPr>
          <w:p w14:paraId="4B806C75" w14:textId="77777777" w:rsidR="00C02777" w:rsidRPr="00C02777" w:rsidRDefault="00C02777" w:rsidP="00C02777">
            <w:pPr>
              <w:pStyle w:val="ListParagraph"/>
              <w:numPr>
                <w:ilvl w:val="0"/>
                <w:numId w:val="17"/>
              </w:numPr>
              <w:rPr>
                <w:rFonts w:ascii="Times New Roman"/>
                <w:sz w:val="20"/>
                <w:szCs w:val="20"/>
              </w:rPr>
            </w:pPr>
            <w:r>
              <w:rPr>
                <w:rFonts w:ascii="Times New Roman"/>
                <w:sz w:val="20"/>
                <w:szCs w:val="20"/>
              </w:rPr>
              <w:t>Project Committee monitors projects</w:t>
            </w:r>
            <w:r w:rsidR="00DB4814">
              <w:rPr>
                <w:rFonts w:ascii="Times New Roman"/>
                <w:sz w:val="20"/>
                <w:szCs w:val="20"/>
              </w:rPr>
              <w:t xml:space="preserve"> </w:t>
            </w:r>
            <w:r w:rsidR="00DB4814" w:rsidRPr="00DB4814">
              <w:rPr>
                <w:rFonts w:ascii="Times New Roman"/>
                <w:sz w:val="20"/>
                <w:szCs w:val="20"/>
                <w:highlight w:val="yellow"/>
              </w:rPr>
              <w:t>(This should already be done)</w:t>
            </w:r>
          </w:p>
        </w:tc>
        <w:tc>
          <w:tcPr>
            <w:tcW w:w="630" w:type="dxa"/>
          </w:tcPr>
          <w:p w14:paraId="18CDB220" w14:textId="77777777" w:rsidR="00C02777" w:rsidRPr="00537125" w:rsidRDefault="00C02777" w:rsidP="00537125">
            <w:pPr>
              <w:jc w:val="center"/>
              <w:rPr>
                <w:rFonts w:ascii="Times New Roman"/>
              </w:rPr>
            </w:pPr>
          </w:p>
        </w:tc>
        <w:tc>
          <w:tcPr>
            <w:tcW w:w="1530" w:type="dxa"/>
          </w:tcPr>
          <w:p w14:paraId="26374580" w14:textId="77777777" w:rsidR="00C02777" w:rsidRPr="00537125" w:rsidRDefault="00C02777" w:rsidP="00537125">
            <w:pPr>
              <w:jc w:val="center"/>
              <w:rPr>
                <w:rFonts w:ascii="Times New Roman"/>
              </w:rPr>
            </w:pPr>
          </w:p>
        </w:tc>
        <w:tc>
          <w:tcPr>
            <w:tcW w:w="720" w:type="dxa"/>
          </w:tcPr>
          <w:p w14:paraId="31720B1B" w14:textId="77777777" w:rsidR="00C02777" w:rsidRPr="00537125" w:rsidRDefault="00C02777" w:rsidP="00537125">
            <w:pPr>
              <w:jc w:val="center"/>
              <w:rPr>
                <w:rFonts w:ascii="Times New Roman"/>
              </w:rPr>
            </w:pPr>
          </w:p>
        </w:tc>
        <w:tc>
          <w:tcPr>
            <w:tcW w:w="1350" w:type="dxa"/>
          </w:tcPr>
          <w:p w14:paraId="7F20C8D8" w14:textId="77777777" w:rsidR="00C02777" w:rsidRDefault="008E43C3" w:rsidP="006673C2">
            <w:pPr>
              <w:jc w:val="center"/>
              <w:rPr>
                <w:rFonts w:ascii="Times New Roman"/>
              </w:rPr>
            </w:pPr>
            <w:r>
              <w:rPr>
                <w:rFonts w:ascii="Times New Roman"/>
              </w:rPr>
              <w:t>X</w:t>
            </w:r>
          </w:p>
        </w:tc>
      </w:tr>
      <w:tr w:rsidR="00C02777" w:rsidRPr="00C60C1F" w14:paraId="65A4C2D0" w14:textId="77777777" w:rsidTr="00581270">
        <w:tc>
          <w:tcPr>
            <w:tcW w:w="6660" w:type="dxa"/>
          </w:tcPr>
          <w:p w14:paraId="75452BD9" w14:textId="77777777" w:rsidR="00C02777" w:rsidRPr="00C02777" w:rsidRDefault="00C02777" w:rsidP="00AC576F">
            <w:pPr>
              <w:pStyle w:val="ListParagraph"/>
              <w:numPr>
                <w:ilvl w:val="0"/>
                <w:numId w:val="17"/>
              </w:numPr>
              <w:rPr>
                <w:rFonts w:ascii="Times New Roman"/>
                <w:sz w:val="20"/>
                <w:szCs w:val="20"/>
              </w:rPr>
            </w:pPr>
            <w:r w:rsidRPr="00F239DE">
              <w:rPr>
                <w:rFonts w:ascii="Times New Roman"/>
                <w:sz w:val="20"/>
                <w:szCs w:val="20"/>
                <w:highlight w:val="green"/>
              </w:rPr>
              <w:t>Project/Scoring Committee needs to score and rank projects</w:t>
            </w:r>
            <w:r w:rsidR="00AC576F" w:rsidRPr="00F239DE">
              <w:rPr>
                <w:rFonts w:ascii="Times New Roman"/>
                <w:sz w:val="20"/>
                <w:szCs w:val="20"/>
                <w:highlight w:val="green"/>
              </w:rPr>
              <w:t>. See NOFA instructions regarding ranking</w:t>
            </w:r>
            <w:r w:rsidR="00A52B94" w:rsidRPr="00F239DE">
              <w:rPr>
                <w:rFonts w:ascii="Times New Roman"/>
                <w:sz w:val="20"/>
                <w:szCs w:val="20"/>
                <w:highlight w:val="green"/>
              </w:rPr>
              <w:t xml:space="preserve"> for new projects developed as a result of reallocation or new Planning Grant projects</w:t>
            </w:r>
          </w:p>
        </w:tc>
        <w:tc>
          <w:tcPr>
            <w:tcW w:w="630" w:type="dxa"/>
          </w:tcPr>
          <w:p w14:paraId="79B0077C" w14:textId="77777777" w:rsidR="00C02777" w:rsidRPr="00537125" w:rsidRDefault="00C02777" w:rsidP="00537125">
            <w:pPr>
              <w:jc w:val="center"/>
              <w:rPr>
                <w:rFonts w:ascii="Times New Roman"/>
              </w:rPr>
            </w:pPr>
          </w:p>
        </w:tc>
        <w:tc>
          <w:tcPr>
            <w:tcW w:w="1530" w:type="dxa"/>
          </w:tcPr>
          <w:p w14:paraId="711C105D" w14:textId="77777777" w:rsidR="00C02777" w:rsidRDefault="00776D88" w:rsidP="00537125">
            <w:pPr>
              <w:jc w:val="center"/>
              <w:rPr>
                <w:rFonts w:ascii="Times New Roman"/>
              </w:rPr>
            </w:pPr>
            <w:r w:rsidRPr="00776D88">
              <w:rPr>
                <w:rFonts w:ascii="Times New Roman"/>
                <w:highlight w:val="yellow"/>
              </w:rPr>
              <w:t>X</w:t>
            </w:r>
          </w:p>
          <w:p w14:paraId="5CACA46A" w14:textId="77777777" w:rsidR="00776D88" w:rsidRPr="00537125" w:rsidRDefault="00776D88" w:rsidP="00537125">
            <w:pPr>
              <w:jc w:val="center"/>
              <w:rPr>
                <w:rFonts w:ascii="Times New Roman"/>
              </w:rPr>
            </w:pPr>
            <w:r>
              <w:rPr>
                <w:rFonts w:ascii="Times New Roman"/>
              </w:rPr>
              <w:t>(Facilitated by consultant?)</w:t>
            </w:r>
          </w:p>
        </w:tc>
        <w:tc>
          <w:tcPr>
            <w:tcW w:w="720" w:type="dxa"/>
          </w:tcPr>
          <w:p w14:paraId="662C4E3F" w14:textId="77777777" w:rsidR="00C02777" w:rsidRPr="00537125" w:rsidRDefault="00C02777" w:rsidP="00537125">
            <w:pPr>
              <w:jc w:val="center"/>
              <w:rPr>
                <w:rFonts w:ascii="Times New Roman"/>
              </w:rPr>
            </w:pPr>
          </w:p>
        </w:tc>
        <w:tc>
          <w:tcPr>
            <w:tcW w:w="1350" w:type="dxa"/>
          </w:tcPr>
          <w:p w14:paraId="4CC2BBA0" w14:textId="77777777" w:rsidR="00C02777" w:rsidRDefault="007C2B0D" w:rsidP="006673C2">
            <w:pPr>
              <w:jc w:val="center"/>
              <w:rPr>
                <w:rFonts w:ascii="Times New Roman"/>
              </w:rPr>
            </w:pPr>
            <w:r>
              <w:rPr>
                <w:rFonts w:ascii="Times New Roman"/>
              </w:rPr>
              <w:t>X</w:t>
            </w:r>
          </w:p>
        </w:tc>
      </w:tr>
      <w:tr w:rsidR="00C02777" w:rsidRPr="00C60C1F" w14:paraId="22C89243" w14:textId="77777777" w:rsidTr="00581270">
        <w:tc>
          <w:tcPr>
            <w:tcW w:w="6660" w:type="dxa"/>
          </w:tcPr>
          <w:p w14:paraId="7CD28FA8" w14:textId="77777777" w:rsidR="00C02777" w:rsidRPr="00C02777" w:rsidRDefault="00C02777" w:rsidP="00AC576F">
            <w:pPr>
              <w:pStyle w:val="ListParagraph"/>
              <w:numPr>
                <w:ilvl w:val="0"/>
                <w:numId w:val="17"/>
              </w:numPr>
              <w:rPr>
                <w:rFonts w:ascii="Times New Roman"/>
                <w:sz w:val="20"/>
                <w:szCs w:val="20"/>
              </w:rPr>
            </w:pPr>
            <w:r>
              <w:rPr>
                <w:rFonts w:ascii="Times New Roman"/>
                <w:sz w:val="20"/>
                <w:szCs w:val="20"/>
              </w:rPr>
              <w:t xml:space="preserve">CoC needs to vote on the Project Committee </w:t>
            </w:r>
            <w:r w:rsidR="006673C2">
              <w:rPr>
                <w:rFonts w:ascii="Times New Roman"/>
                <w:sz w:val="20"/>
                <w:szCs w:val="20"/>
              </w:rPr>
              <w:t>r</w:t>
            </w:r>
            <w:r>
              <w:rPr>
                <w:rFonts w:ascii="Times New Roman"/>
                <w:sz w:val="20"/>
                <w:szCs w:val="20"/>
              </w:rPr>
              <w:t>ecommendations</w:t>
            </w:r>
            <w:r w:rsidR="008E43C3">
              <w:rPr>
                <w:rFonts w:ascii="Times New Roman"/>
                <w:sz w:val="20"/>
                <w:szCs w:val="20"/>
              </w:rPr>
              <w:t xml:space="preserve"> </w:t>
            </w:r>
          </w:p>
        </w:tc>
        <w:tc>
          <w:tcPr>
            <w:tcW w:w="630" w:type="dxa"/>
          </w:tcPr>
          <w:p w14:paraId="34DE2807" w14:textId="77777777" w:rsidR="00C02777" w:rsidRPr="00537125" w:rsidRDefault="00C02777" w:rsidP="00537125">
            <w:pPr>
              <w:jc w:val="center"/>
              <w:rPr>
                <w:rFonts w:ascii="Times New Roman"/>
              </w:rPr>
            </w:pPr>
          </w:p>
        </w:tc>
        <w:tc>
          <w:tcPr>
            <w:tcW w:w="1530" w:type="dxa"/>
          </w:tcPr>
          <w:p w14:paraId="49B26218" w14:textId="77777777" w:rsidR="00C02777" w:rsidRPr="00537125" w:rsidRDefault="00C02777" w:rsidP="00537125">
            <w:pPr>
              <w:jc w:val="center"/>
              <w:rPr>
                <w:rFonts w:ascii="Times New Roman"/>
              </w:rPr>
            </w:pPr>
          </w:p>
        </w:tc>
        <w:tc>
          <w:tcPr>
            <w:tcW w:w="720" w:type="dxa"/>
          </w:tcPr>
          <w:p w14:paraId="5B6A0C7B" w14:textId="77777777" w:rsidR="00C02777" w:rsidRPr="00537125" w:rsidRDefault="008E43C3" w:rsidP="00537125">
            <w:pPr>
              <w:jc w:val="center"/>
              <w:rPr>
                <w:rFonts w:ascii="Times New Roman"/>
              </w:rPr>
            </w:pPr>
            <w:r>
              <w:rPr>
                <w:rFonts w:ascii="Times New Roman"/>
              </w:rPr>
              <w:t>X</w:t>
            </w:r>
          </w:p>
        </w:tc>
        <w:tc>
          <w:tcPr>
            <w:tcW w:w="1350" w:type="dxa"/>
          </w:tcPr>
          <w:p w14:paraId="0E6DBBC1" w14:textId="77777777" w:rsidR="00C02777" w:rsidRDefault="00C02777" w:rsidP="006673C2">
            <w:pPr>
              <w:jc w:val="center"/>
              <w:rPr>
                <w:rFonts w:ascii="Times New Roman"/>
              </w:rPr>
            </w:pPr>
          </w:p>
        </w:tc>
      </w:tr>
      <w:tr w:rsidR="00C02777" w:rsidRPr="00C60C1F" w14:paraId="7CAF6C8F" w14:textId="77777777" w:rsidTr="00581270">
        <w:tc>
          <w:tcPr>
            <w:tcW w:w="6660" w:type="dxa"/>
          </w:tcPr>
          <w:p w14:paraId="039FE232" w14:textId="77777777" w:rsidR="00C02777" w:rsidRPr="00C02777" w:rsidRDefault="00C02777" w:rsidP="00A52B94">
            <w:pPr>
              <w:pStyle w:val="ListParagraph"/>
              <w:numPr>
                <w:ilvl w:val="0"/>
                <w:numId w:val="17"/>
              </w:numPr>
              <w:rPr>
                <w:rFonts w:ascii="Times New Roman"/>
                <w:sz w:val="20"/>
                <w:szCs w:val="20"/>
              </w:rPr>
            </w:pPr>
            <w:r>
              <w:rPr>
                <w:rFonts w:ascii="Times New Roman"/>
                <w:sz w:val="20"/>
                <w:szCs w:val="20"/>
              </w:rPr>
              <w:t>CA enters the project priority rank</w:t>
            </w:r>
            <w:r w:rsidR="00A52B94">
              <w:rPr>
                <w:rFonts w:ascii="Times New Roman"/>
                <w:sz w:val="20"/>
                <w:szCs w:val="20"/>
              </w:rPr>
              <w:t>ings in e-snaps on all project applications &amp; attaches the scoring spreadsheet to the full application.</w:t>
            </w:r>
          </w:p>
        </w:tc>
        <w:tc>
          <w:tcPr>
            <w:tcW w:w="630" w:type="dxa"/>
          </w:tcPr>
          <w:p w14:paraId="27B54114" w14:textId="77777777" w:rsidR="00C02777" w:rsidRPr="00537125" w:rsidRDefault="008E43C3" w:rsidP="00537125">
            <w:pPr>
              <w:jc w:val="center"/>
              <w:rPr>
                <w:rFonts w:ascii="Times New Roman"/>
              </w:rPr>
            </w:pPr>
            <w:r>
              <w:rPr>
                <w:rFonts w:ascii="Times New Roman"/>
              </w:rPr>
              <w:t>X</w:t>
            </w:r>
          </w:p>
        </w:tc>
        <w:tc>
          <w:tcPr>
            <w:tcW w:w="1530" w:type="dxa"/>
          </w:tcPr>
          <w:p w14:paraId="6F8E567B" w14:textId="77777777" w:rsidR="00C02777" w:rsidRPr="00537125" w:rsidRDefault="00C02777" w:rsidP="00537125">
            <w:pPr>
              <w:jc w:val="center"/>
              <w:rPr>
                <w:rFonts w:ascii="Times New Roman"/>
              </w:rPr>
            </w:pPr>
          </w:p>
        </w:tc>
        <w:tc>
          <w:tcPr>
            <w:tcW w:w="720" w:type="dxa"/>
          </w:tcPr>
          <w:p w14:paraId="4298B20E" w14:textId="77777777" w:rsidR="00C02777" w:rsidRPr="00537125" w:rsidRDefault="00C02777" w:rsidP="00537125">
            <w:pPr>
              <w:jc w:val="center"/>
              <w:rPr>
                <w:rFonts w:ascii="Times New Roman"/>
              </w:rPr>
            </w:pPr>
          </w:p>
        </w:tc>
        <w:tc>
          <w:tcPr>
            <w:tcW w:w="1350" w:type="dxa"/>
          </w:tcPr>
          <w:p w14:paraId="76F3A936" w14:textId="77777777" w:rsidR="00C02777" w:rsidRDefault="00C02777" w:rsidP="006673C2">
            <w:pPr>
              <w:jc w:val="center"/>
              <w:rPr>
                <w:rFonts w:ascii="Times New Roman"/>
              </w:rPr>
            </w:pPr>
          </w:p>
        </w:tc>
      </w:tr>
      <w:tr w:rsidR="00581270" w:rsidRPr="00C60C1F" w14:paraId="659DA49E" w14:textId="77777777" w:rsidTr="00581270">
        <w:tc>
          <w:tcPr>
            <w:tcW w:w="6660" w:type="dxa"/>
            <w:shd w:val="clear" w:color="auto" w:fill="D99594" w:themeFill="accent2" w:themeFillTint="99"/>
          </w:tcPr>
          <w:p w14:paraId="70E4922C" w14:textId="77777777" w:rsidR="00C02777" w:rsidRPr="00642088" w:rsidRDefault="008E43C3" w:rsidP="008E43C3">
            <w:pPr>
              <w:rPr>
                <w:rFonts w:ascii="Times New Roman"/>
                <w:sz w:val="20"/>
                <w:szCs w:val="20"/>
              </w:rPr>
            </w:pPr>
            <w:r>
              <w:rPr>
                <w:rFonts w:ascii="Times New Roman"/>
                <w:b/>
              </w:rPr>
              <w:t>Submission to HUD</w:t>
            </w:r>
          </w:p>
        </w:tc>
        <w:tc>
          <w:tcPr>
            <w:tcW w:w="630" w:type="dxa"/>
            <w:shd w:val="clear" w:color="auto" w:fill="D99594" w:themeFill="accent2" w:themeFillTint="99"/>
          </w:tcPr>
          <w:p w14:paraId="0BC8954D" w14:textId="77777777" w:rsidR="00C02777" w:rsidRPr="00537125" w:rsidRDefault="00C02777" w:rsidP="00537125">
            <w:pPr>
              <w:jc w:val="center"/>
              <w:rPr>
                <w:rFonts w:ascii="Times New Roman"/>
              </w:rPr>
            </w:pPr>
          </w:p>
        </w:tc>
        <w:tc>
          <w:tcPr>
            <w:tcW w:w="1530" w:type="dxa"/>
            <w:shd w:val="clear" w:color="auto" w:fill="D99594" w:themeFill="accent2" w:themeFillTint="99"/>
          </w:tcPr>
          <w:p w14:paraId="2914736E" w14:textId="77777777" w:rsidR="00C02777" w:rsidRPr="00537125" w:rsidRDefault="00C02777" w:rsidP="00537125">
            <w:pPr>
              <w:jc w:val="center"/>
              <w:rPr>
                <w:rFonts w:ascii="Times New Roman"/>
              </w:rPr>
            </w:pPr>
          </w:p>
        </w:tc>
        <w:tc>
          <w:tcPr>
            <w:tcW w:w="720" w:type="dxa"/>
            <w:shd w:val="clear" w:color="auto" w:fill="D99594" w:themeFill="accent2" w:themeFillTint="99"/>
          </w:tcPr>
          <w:p w14:paraId="109D0F3E" w14:textId="77777777" w:rsidR="00C02777" w:rsidRPr="00537125" w:rsidRDefault="00C02777" w:rsidP="00537125">
            <w:pPr>
              <w:jc w:val="center"/>
              <w:rPr>
                <w:rFonts w:ascii="Times New Roman"/>
              </w:rPr>
            </w:pPr>
          </w:p>
        </w:tc>
        <w:tc>
          <w:tcPr>
            <w:tcW w:w="1350" w:type="dxa"/>
            <w:shd w:val="clear" w:color="auto" w:fill="D99594" w:themeFill="accent2" w:themeFillTint="99"/>
          </w:tcPr>
          <w:p w14:paraId="745E6D8D" w14:textId="77777777" w:rsidR="00C02777" w:rsidRDefault="00C02777" w:rsidP="006673C2">
            <w:pPr>
              <w:jc w:val="center"/>
              <w:rPr>
                <w:rFonts w:ascii="Times New Roman"/>
              </w:rPr>
            </w:pPr>
          </w:p>
        </w:tc>
      </w:tr>
      <w:tr w:rsidR="004A6AD8" w:rsidRPr="00C60C1F" w14:paraId="45A489AA" w14:textId="77777777" w:rsidTr="00581270">
        <w:tc>
          <w:tcPr>
            <w:tcW w:w="6660" w:type="dxa"/>
          </w:tcPr>
          <w:p w14:paraId="6BC13EE7" w14:textId="77777777" w:rsidR="004A6AD8" w:rsidRDefault="00776D88" w:rsidP="00AC576F">
            <w:pPr>
              <w:pStyle w:val="ListParagraph"/>
              <w:numPr>
                <w:ilvl w:val="0"/>
                <w:numId w:val="17"/>
              </w:numPr>
              <w:rPr>
                <w:rFonts w:ascii="Times New Roman"/>
                <w:sz w:val="20"/>
                <w:szCs w:val="20"/>
              </w:rPr>
            </w:pPr>
            <w:r w:rsidRPr="00F239DE">
              <w:rPr>
                <w:rFonts w:ascii="Times New Roman"/>
                <w:sz w:val="20"/>
                <w:szCs w:val="20"/>
                <w:highlight w:val="green"/>
              </w:rPr>
              <w:t>O</w:t>
            </w:r>
            <w:r w:rsidR="004A6AD8" w:rsidRPr="00F239DE">
              <w:rPr>
                <w:rFonts w:ascii="Times New Roman"/>
                <w:sz w:val="20"/>
                <w:szCs w:val="20"/>
                <w:highlight w:val="green"/>
              </w:rPr>
              <w:t>btain the Certifications of Approval for Consistency with the Consolidated Plan (need to get one from each jurisdiction) and summarize the project listing by region for each approval.</w:t>
            </w:r>
          </w:p>
        </w:tc>
        <w:tc>
          <w:tcPr>
            <w:tcW w:w="630" w:type="dxa"/>
          </w:tcPr>
          <w:p w14:paraId="6F970745" w14:textId="77777777" w:rsidR="004A6AD8" w:rsidRDefault="004A6AD8" w:rsidP="00537125">
            <w:pPr>
              <w:jc w:val="center"/>
              <w:rPr>
                <w:rFonts w:ascii="Times New Roman"/>
              </w:rPr>
            </w:pPr>
            <w:r>
              <w:rPr>
                <w:rFonts w:ascii="Times New Roman"/>
              </w:rPr>
              <w:t>X</w:t>
            </w:r>
          </w:p>
        </w:tc>
        <w:tc>
          <w:tcPr>
            <w:tcW w:w="1530" w:type="dxa"/>
          </w:tcPr>
          <w:p w14:paraId="0FFEDCE1" w14:textId="77777777" w:rsidR="004A6AD8" w:rsidRDefault="00CD3D44" w:rsidP="00537125">
            <w:pPr>
              <w:jc w:val="center"/>
              <w:rPr>
                <w:rFonts w:ascii="Times New Roman"/>
              </w:rPr>
            </w:pPr>
            <w:r w:rsidRPr="00CD3D44">
              <w:rPr>
                <w:rFonts w:ascii="Times New Roman"/>
                <w:highlight w:val="green"/>
              </w:rPr>
              <w:t>Amy</w:t>
            </w:r>
          </w:p>
          <w:p w14:paraId="3F6C4C20" w14:textId="77777777" w:rsidR="00A86E78" w:rsidRPr="00537125" w:rsidRDefault="00A86E78" w:rsidP="003160FA">
            <w:pPr>
              <w:rPr>
                <w:rFonts w:ascii="Times New Roman"/>
              </w:rPr>
            </w:pPr>
          </w:p>
        </w:tc>
        <w:tc>
          <w:tcPr>
            <w:tcW w:w="720" w:type="dxa"/>
          </w:tcPr>
          <w:p w14:paraId="38B13DCB" w14:textId="77777777" w:rsidR="004A6AD8" w:rsidRDefault="004A6AD8" w:rsidP="00537125">
            <w:pPr>
              <w:jc w:val="center"/>
              <w:rPr>
                <w:rFonts w:ascii="Times New Roman"/>
              </w:rPr>
            </w:pPr>
          </w:p>
        </w:tc>
        <w:tc>
          <w:tcPr>
            <w:tcW w:w="1350" w:type="dxa"/>
          </w:tcPr>
          <w:p w14:paraId="029C6A3E" w14:textId="77777777" w:rsidR="004A6AD8" w:rsidRDefault="004A6AD8" w:rsidP="006673C2">
            <w:pPr>
              <w:jc w:val="center"/>
              <w:rPr>
                <w:rFonts w:ascii="Times New Roman"/>
              </w:rPr>
            </w:pPr>
          </w:p>
        </w:tc>
      </w:tr>
      <w:tr w:rsidR="00C02777" w:rsidRPr="00C60C1F" w14:paraId="193AA274" w14:textId="77777777" w:rsidTr="00581270">
        <w:tc>
          <w:tcPr>
            <w:tcW w:w="6660" w:type="dxa"/>
          </w:tcPr>
          <w:p w14:paraId="544220FD" w14:textId="77777777" w:rsidR="00C02777" w:rsidRPr="008E43C3" w:rsidRDefault="008E43C3" w:rsidP="008E43C3">
            <w:pPr>
              <w:pStyle w:val="ListParagraph"/>
              <w:numPr>
                <w:ilvl w:val="0"/>
                <w:numId w:val="17"/>
              </w:numPr>
              <w:rPr>
                <w:rFonts w:ascii="Times New Roman"/>
                <w:sz w:val="20"/>
                <w:szCs w:val="20"/>
              </w:rPr>
            </w:pPr>
            <w:r>
              <w:rPr>
                <w:rFonts w:ascii="Times New Roman"/>
                <w:sz w:val="20"/>
                <w:szCs w:val="20"/>
              </w:rPr>
              <w:t>Onc</w:t>
            </w:r>
            <w:r w:rsidR="00AC576F">
              <w:rPr>
                <w:rFonts w:ascii="Times New Roman"/>
                <w:sz w:val="20"/>
                <w:szCs w:val="20"/>
              </w:rPr>
              <w:t xml:space="preserve">e the application is complete, </w:t>
            </w:r>
            <w:r>
              <w:rPr>
                <w:rFonts w:ascii="Times New Roman"/>
                <w:sz w:val="20"/>
                <w:szCs w:val="20"/>
              </w:rPr>
              <w:t>COC must vote</w:t>
            </w:r>
            <w:r w:rsidR="00AC576F">
              <w:rPr>
                <w:rFonts w:ascii="Times New Roman"/>
                <w:sz w:val="20"/>
                <w:szCs w:val="20"/>
              </w:rPr>
              <w:t>, or designate Steering to v</w:t>
            </w:r>
            <w:r>
              <w:rPr>
                <w:rFonts w:ascii="Times New Roman"/>
                <w:sz w:val="20"/>
                <w:szCs w:val="20"/>
              </w:rPr>
              <w:t>ote</w:t>
            </w:r>
            <w:r w:rsidR="00AC576F">
              <w:rPr>
                <w:rFonts w:ascii="Times New Roman"/>
                <w:sz w:val="20"/>
                <w:szCs w:val="20"/>
              </w:rPr>
              <w:t>,</w:t>
            </w:r>
            <w:r>
              <w:rPr>
                <w:rFonts w:ascii="Times New Roman"/>
                <w:sz w:val="20"/>
                <w:szCs w:val="20"/>
              </w:rPr>
              <w:t xml:space="preserve"> to Approve submission by the CA.</w:t>
            </w:r>
          </w:p>
        </w:tc>
        <w:tc>
          <w:tcPr>
            <w:tcW w:w="630" w:type="dxa"/>
          </w:tcPr>
          <w:p w14:paraId="07F87FC7" w14:textId="77777777" w:rsidR="00C02777" w:rsidRPr="00537125" w:rsidRDefault="008E43C3" w:rsidP="00537125">
            <w:pPr>
              <w:jc w:val="center"/>
              <w:rPr>
                <w:rFonts w:ascii="Times New Roman"/>
              </w:rPr>
            </w:pPr>
            <w:r>
              <w:rPr>
                <w:rFonts w:ascii="Times New Roman"/>
              </w:rPr>
              <w:t>X</w:t>
            </w:r>
          </w:p>
        </w:tc>
        <w:tc>
          <w:tcPr>
            <w:tcW w:w="1530" w:type="dxa"/>
          </w:tcPr>
          <w:p w14:paraId="634A9E0D" w14:textId="77777777" w:rsidR="00C02777" w:rsidRPr="00537125" w:rsidRDefault="00C02777" w:rsidP="00537125">
            <w:pPr>
              <w:jc w:val="center"/>
              <w:rPr>
                <w:rFonts w:ascii="Times New Roman"/>
              </w:rPr>
            </w:pPr>
          </w:p>
        </w:tc>
        <w:tc>
          <w:tcPr>
            <w:tcW w:w="720" w:type="dxa"/>
          </w:tcPr>
          <w:p w14:paraId="409E51BB" w14:textId="77777777" w:rsidR="00C02777" w:rsidRPr="00537125" w:rsidRDefault="008E43C3" w:rsidP="00537125">
            <w:pPr>
              <w:jc w:val="center"/>
              <w:rPr>
                <w:rFonts w:ascii="Times New Roman"/>
              </w:rPr>
            </w:pPr>
            <w:r>
              <w:rPr>
                <w:rFonts w:ascii="Times New Roman"/>
              </w:rPr>
              <w:t>X</w:t>
            </w:r>
          </w:p>
        </w:tc>
        <w:tc>
          <w:tcPr>
            <w:tcW w:w="1350" w:type="dxa"/>
          </w:tcPr>
          <w:p w14:paraId="14B25A30" w14:textId="77777777" w:rsidR="00C02777" w:rsidRDefault="00C02777" w:rsidP="006673C2">
            <w:pPr>
              <w:jc w:val="center"/>
              <w:rPr>
                <w:rFonts w:ascii="Times New Roman"/>
              </w:rPr>
            </w:pPr>
          </w:p>
        </w:tc>
      </w:tr>
      <w:tr w:rsidR="00581270" w:rsidRPr="00C60C1F" w14:paraId="2A898CD4" w14:textId="77777777" w:rsidTr="00D31A9B">
        <w:tc>
          <w:tcPr>
            <w:tcW w:w="6660" w:type="dxa"/>
            <w:shd w:val="clear" w:color="auto" w:fill="B2A1C7" w:themeFill="accent4" w:themeFillTint="99"/>
          </w:tcPr>
          <w:p w14:paraId="79770CC3" w14:textId="77777777" w:rsidR="00642088" w:rsidRPr="00642088" w:rsidRDefault="003C3787" w:rsidP="003C3787">
            <w:pPr>
              <w:rPr>
                <w:rFonts w:ascii="Times New Roman"/>
                <w:sz w:val="20"/>
                <w:szCs w:val="20"/>
              </w:rPr>
            </w:pPr>
            <w:r>
              <w:rPr>
                <w:rFonts w:ascii="Times New Roman"/>
                <w:b/>
              </w:rPr>
              <w:t>NOFA Application Sections</w:t>
            </w:r>
          </w:p>
        </w:tc>
        <w:tc>
          <w:tcPr>
            <w:tcW w:w="630" w:type="dxa"/>
            <w:shd w:val="clear" w:color="auto" w:fill="B2A1C7" w:themeFill="accent4" w:themeFillTint="99"/>
          </w:tcPr>
          <w:p w14:paraId="67317FC3" w14:textId="77777777" w:rsidR="00642088" w:rsidRPr="00537125" w:rsidRDefault="00642088" w:rsidP="00537125">
            <w:pPr>
              <w:jc w:val="center"/>
              <w:rPr>
                <w:rFonts w:ascii="Times New Roman"/>
              </w:rPr>
            </w:pPr>
          </w:p>
        </w:tc>
        <w:tc>
          <w:tcPr>
            <w:tcW w:w="1530" w:type="dxa"/>
            <w:shd w:val="clear" w:color="auto" w:fill="B2A1C7" w:themeFill="accent4" w:themeFillTint="99"/>
          </w:tcPr>
          <w:p w14:paraId="70FF3D78" w14:textId="77777777" w:rsidR="00642088" w:rsidRPr="00537125" w:rsidRDefault="00642088" w:rsidP="00537125">
            <w:pPr>
              <w:jc w:val="center"/>
              <w:rPr>
                <w:rFonts w:ascii="Times New Roman"/>
              </w:rPr>
            </w:pPr>
          </w:p>
        </w:tc>
        <w:tc>
          <w:tcPr>
            <w:tcW w:w="720" w:type="dxa"/>
            <w:shd w:val="clear" w:color="auto" w:fill="B2A1C7" w:themeFill="accent4" w:themeFillTint="99"/>
          </w:tcPr>
          <w:p w14:paraId="0AE61870" w14:textId="77777777" w:rsidR="00642088" w:rsidRPr="00537125" w:rsidRDefault="00642088" w:rsidP="00537125">
            <w:pPr>
              <w:jc w:val="center"/>
              <w:rPr>
                <w:rFonts w:ascii="Times New Roman"/>
              </w:rPr>
            </w:pPr>
          </w:p>
        </w:tc>
        <w:tc>
          <w:tcPr>
            <w:tcW w:w="1350" w:type="dxa"/>
            <w:shd w:val="clear" w:color="auto" w:fill="B2A1C7" w:themeFill="accent4" w:themeFillTint="99"/>
          </w:tcPr>
          <w:p w14:paraId="38442D45" w14:textId="77777777" w:rsidR="00642088" w:rsidRDefault="00642088" w:rsidP="006673C2">
            <w:pPr>
              <w:jc w:val="center"/>
              <w:rPr>
                <w:rFonts w:ascii="Times New Roman"/>
              </w:rPr>
            </w:pPr>
          </w:p>
        </w:tc>
      </w:tr>
      <w:tr w:rsidR="00581270" w:rsidRPr="00C60C1F" w14:paraId="4745AFD1" w14:textId="77777777" w:rsidTr="00581270">
        <w:tc>
          <w:tcPr>
            <w:tcW w:w="6660" w:type="dxa"/>
            <w:shd w:val="clear" w:color="auto" w:fill="B2A1C7" w:themeFill="accent4" w:themeFillTint="99"/>
          </w:tcPr>
          <w:p w14:paraId="79EC75E8" w14:textId="77777777" w:rsidR="003C3787" w:rsidRPr="00CF114D" w:rsidRDefault="00623301" w:rsidP="003C3787">
            <w:pPr>
              <w:rPr>
                <w:rFonts w:ascii="Times New Roman"/>
                <w:b/>
                <w:sz w:val="20"/>
                <w:szCs w:val="20"/>
              </w:rPr>
            </w:pPr>
            <w:r w:rsidRPr="00CF114D">
              <w:rPr>
                <w:rFonts w:ascii="TimesNewRomanPS-BoldMT" w:hAnsi="TimesNewRomanPS-BoldMT" w:cs="TimesNewRomanPS-BoldMT"/>
                <w:b/>
                <w:bCs/>
                <w:sz w:val="20"/>
                <w:szCs w:val="20"/>
              </w:rPr>
              <w:t xml:space="preserve">1. CoC Coordination and Engagement. </w:t>
            </w:r>
            <w:r w:rsidRPr="00CF114D">
              <w:rPr>
                <w:rFonts w:ascii="TimesNewRomanPSMT" w:hAnsi="TimesNewRomanPSMT" w:cs="TimesNewRomanPSMT"/>
                <w:sz w:val="20"/>
                <w:szCs w:val="20"/>
              </w:rPr>
              <w:t>up to 43 points</w:t>
            </w:r>
          </w:p>
        </w:tc>
        <w:tc>
          <w:tcPr>
            <w:tcW w:w="630" w:type="dxa"/>
            <w:shd w:val="clear" w:color="auto" w:fill="B2A1C7" w:themeFill="accent4" w:themeFillTint="99"/>
          </w:tcPr>
          <w:p w14:paraId="7F743DC3" w14:textId="77777777" w:rsidR="003C3787" w:rsidRPr="00537125" w:rsidRDefault="003C3787" w:rsidP="00537125">
            <w:pPr>
              <w:jc w:val="center"/>
              <w:rPr>
                <w:rFonts w:ascii="Times New Roman"/>
              </w:rPr>
            </w:pPr>
          </w:p>
        </w:tc>
        <w:tc>
          <w:tcPr>
            <w:tcW w:w="1530" w:type="dxa"/>
            <w:shd w:val="clear" w:color="auto" w:fill="B2A1C7" w:themeFill="accent4" w:themeFillTint="99"/>
          </w:tcPr>
          <w:p w14:paraId="2972650A" w14:textId="77777777" w:rsidR="003C3787" w:rsidRPr="00537125" w:rsidRDefault="003C3787" w:rsidP="00537125">
            <w:pPr>
              <w:jc w:val="center"/>
              <w:rPr>
                <w:rFonts w:ascii="Times New Roman"/>
              </w:rPr>
            </w:pPr>
          </w:p>
        </w:tc>
        <w:tc>
          <w:tcPr>
            <w:tcW w:w="720" w:type="dxa"/>
            <w:shd w:val="clear" w:color="auto" w:fill="B2A1C7" w:themeFill="accent4" w:themeFillTint="99"/>
          </w:tcPr>
          <w:p w14:paraId="249B0C92" w14:textId="77777777" w:rsidR="003C3787" w:rsidRPr="00537125" w:rsidRDefault="003C3787" w:rsidP="00537125">
            <w:pPr>
              <w:jc w:val="center"/>
              <w:rPr>
                <w:rFonts w:ascii="Times New Roman"/>
              </w:rPr>
            </w:pPr>
          </w:p>
        </w:tc>
        <w:tc>
          <w:tcPr>
            <w:tcW w:w="1350" w:type="dxa"/>
            <w:shd w:val="clear" w:color="auto" w:fill="B2A1C7" w:themeFill="accent4" w:themeFillTint="99"/>
          </w:tcPr>
          <w:p w14:paraId="6B3E1201" w14:textId="77777777" w:rsidR="003C3787" w:rsidRDefault="003C3787" w:rsidP="006673C2">
            <w:pPr>
              <w:jc w:val="center"/>
              <w:rPr>
                <w:rFonts w:ascii="Times New Roman"/>
              </w:rPr>
            </w:pPr>
          </w:p>
        </w:tc>
      </w:tr>
      <w:tr w:rsidR="00537125" w:rsidRPr="00C60C1F" w14:paraId="03BAA3FC" w14:textId="77777777" w:rsidTr="00581270">
        <w:tc>
          <w:tcPr>
            <w:tcW w:w="6660" w:type="dxa"/>
          </w:tcPr>
          <w:p w14:paraId="5776BDB7" w14:textId="77777777" w:rsidR="00537125" w:rsidRPr="00CF114D" w:rsidRDefault="00900063" w:rsidP="00900063">
            <w:pPr>
              <w:rPr>
                <w:sz w:val="20"/>
                <w:szCs w:val="20"/>
              </w:rPr>
            </w:pPr>
            <w:r w:rsidRPr="00CF114D">
              <w:rPr>
                <w:rFonts w:ascii="TimesNewRomanPSMT" w:hAnsi="TimesNewRomanPSMT" w:cs="TimesNewRomanPSMT"/>
                <w:sz w:val="20"/>
                <w:szCs w:val="20"/>
              </w:rPr>
              <w:t xml:space="preserve">a. </w:t>
            </w:r>
            <w:r w:rsidRPr="00CF114D">
              <w:rPr>
                <w:rFonts w:ascii="TimesNewRomanPS-ItalicMT" w:hAnsi="TimesNewRomanPS-ItalicMT" w:cs="TimesNewRomanPS-ItalicMT"/>
                <w:i/>
                <w:iCs/>
                <w:sz w:val="20"/>
                <w:szCs w:val="20"/>
              </w:rPr>
              <w:t xml:space="preserve">Inclusive Structure and Participation. </w:t>
            </w:r>
            <w:r w:rsidRPr="00CF114D">
              <w:rPr>
                <w:rFonts w:ascii="TimesNewRomanPSMT" w:hAnsi="TimesNewRomanPSMT" w:cs="TimesNewRomanPSMT"/>
                <w:sz w:val="20"/>
                <w:szCs w:val="20"/>
              </w:rPr>
              <w:t>Up to 5 points</w:t>
            </w:r>
          </w:p>
        </w:tc>
        <w:tc>
          <w:tcPr>
            <w:tcW w:w="630" w:type="dxa"/>
          </w:tcPr>
          <w:p w14:paraId="0158F8B1" w14:textId="77777777" w:rsidR="00537125" w:rsidRPr="00622711" w:rsidRDefault="00537125" w:rsidP="00537125">
            <w:pPr>
              <w:jc w:val="center"/>
              <w:rPr>
                <w:rFonts w:ascii="Times New Roman"/>
                <w:sz w:val="20"/>
              </w:rPr>
            </w:pPr>
          </w:p>
        </w:tc>
        <w:tc>
          <w:tcPr>
            <w:tcW w:w="1530" w:type="dxa"/>
          </w:tcPr>
          <w:p w14:paraId="4D493E4B" w14:textId="77777777" w:rsidR="00537125" w:rsidRPr="00622711" w:rsidRDefault="00830BAE" w:rsidP="00537125">
            <w:pPr>
              <w:jc w:val="center"/>
              <w:rPr>
                <w:rFonts w:ascii="Times New Roman"/>
                <w:sz w:val="20"/>
              </w:rPr>
            </w:pPr>
            <w:r>
              <w:rPr>
                <w:rFonts w:ascii="Times New Roman"/>
                <w:sz w:val="20"/>
              </w:rPr>
              <w:t>Anne &amp; Scott</w:t>
            </w:r>
          </w:p>
        </w:tc>
        <w:tc>
          <w:tcPr>
            <w:tcW w:w="720" w:type="dxa"/>
          </w:tcPr>
          <w:p w14:paraId="0DE7B298" w14:textId="77777777" w:rsidR="00537125" w:rsidRPr="00622711" w:rsidRDefault="00537125" w:rsidP="00537125">
            <w:pPr>
              <w:jc w:val="center"/>
              <w:rPr>
                <w:rFonts w:ascii="Times New Roman"/>
                <w:sz w:val="20"/>
              </w:rPr>
            </w:pPr>
          </w:p>
        </w:tc>
        <w:tc>
          <w:tcPr>
            <w:tcW w:w="1350" w:type="dxa"/>
          </w:tcPr>
          <w:p w14:paraId="0CBB2D04" w14:textId="77777777" w:rsidR="00537125" w:rsidRPr="00622711" w:rsidRDefault="00537125" w:rsidP="006673C2">
            <w:pPr>
              <w:jc w:val="center"/>
              <w:rPr>
                <w:rFonts w:ascii="Times New Roman"/>
                <w:sz w:val="20"/>
              </w:rPr>
            </w:pPr>
          </w:p>
        </w:tc>
      </w:tr>
      <w:tr w:rsidR="00537125" w:rsidRPr="00C60C1F" w14:paraId="0C69187A" w14:textId="77777777" w:rsidTr="00581270">
        <w:tc>
          <w:tcPr>
            <w:tcW w:w="6660" w:type="dxa"/>
          </w:tcPr>
          <w:p w14:paraId="2A31B07F" w14:textId="77777777" w:rsidR="00537125" w:rsidRPr="00CF114D" w:rsidRDefault="00900063" w:rsidP="00900063">
            <w:pPr>
              <w:autoSpaceDE w:val="0"/>
              <w:autoSpaceDN w:val="0"/>
              <w:adjustRightInd w:val="0"/>
              <w:rPr>
                <w:rFonts w:ascii="TimesNewRomanPS-ItalicMT" w:hAnsi="TimesNewRomanPS-ItalicMT" w:cs="TimesNewRomanPS-ItalicMT"/>
                <w:i/>
                <w:iCs/>
                <w:sz w:val="20"/>
                <w:szCs w:val="20"/>
              </w:rPr>
            </w:pPr>
            <w:r w:rsidRPr="00CF114D">
              <w:rPr>
                <w:rFonts w:ascii="TimesNewRomanPSMT" w:hAnsi="TimesNewRomanPSMT" w:cs="TimesNewRomanPSMT"/>
                <w:sz w:val="20"/>
                <w:szCs w:val="20"/>
              </w:rPr>
              <w:t xml:space="preserve">b. </w:t>
            </w:r>
            <w:r w:rsidRPr="00CF114D">
              <w:rPr>
                <w:rFonts w:ascii="TimesNewRomanPS-ItalicMT" w:hAnsi="TimesNewRomanPS-ItalicMT" w:cs="TimesNewRomanPS-ItalicMT"/>
                <w:i/>
                <w:iCs/>
                <w:sz w:val="20"/>
                <w:szCs w:val="20"/>
              </w:rPr>
              <w:t>Coordination with the Consolidated Plan, Emergency Solutions Grants (ESG), and Other Organizations.</w:t>
            </w:r>
          </w:p>
        </w:tc>
        <w:tc>
          <w:tcPr>
            <w:tcW w:w="630" w:type="dxa"/>
          </w:tcPr>
          <w:p w14:paraId="4F4CC995" w14:textId="77777777" w:rsidR="00537125" w:rsidRPr="00622711" w:rsidRDefault="00537125" w:rsidP="00537125">
            <w:pPr>
              <w:jc w:val="center"/>
              <w:rPr>
                <w:rFonts w:ascii="Times New Roman"/>
                <w:sz w:val="20"/>
              </w:rPr>
            </w:pPr>
          </w:p>
        </w:tc>
        <w:tc>
          <w:tcPr>
            <w:tcW w:w="1530" w:type="dxa"/>
          </w:tcPr>
          <w:p w14:paraId="4FDE43FA" w14:textId="77777777" w:rsidR="00537125" w:rsidRPr="00622711" w:rsidRDefault="00830BAE" w:rsidP="00537125">
            <w:pPr>
              <w:jc w:val="center"/>
              <w:rPr>
                <w:rFonts w:ascii="Times New Roman"/>
                <w:sz w:val="20"/>
              </w:rPr>
            </w:pPr>
            <w:r>
              <w:rPr>
                <w:rFonts w:ascii="Times New Roman"/>
                <w:sz w:val="20"/>
              </w:rPr>
              <w:t>Anne &amp; Scott</w:t>
            </w:r>
          </w:p>
        </w:tc>
        <w:tc>
          <w:tcPr>
            <w:tcW w:w="720" w:type="dxa"/>
          </w:tcPr>
          <w:p w14:paraId="1CE2A869" w14:textId="77777777" w:rsidR="00537125" w:rsidRPr="00622711" w:rsidRDefault="00537125" w:rsidP="00537125">
            <w:pPr>
              <w:jc w:val="center"/>
              <w:rPr>
                <w:rFonts w:ascii="Times New Roman"/>
                <w:sz w:val="20"/>
              </w:rPr>
            </w:pPr>
          </w:p>
        </w:tc>
        <w:tc>
          <w:tcPr>
            <w:tcW w:w="1350" w:type="dxa"/>
          </w:tcPr>
          <w:p w14:paraId="3E638EC6" w14:textId="77777777" w:rsidR="00537125" w:rsidRPr="00622711" w:rsidRDefault="00537125" w:rsidP="006673C2">
            <w:pPr>
              <w:jc w:val="center"/>
              <w:rPr>
                <w:rFonts w:ascii="Times New Roman"/>
                <w:sz w:val="20"/>
              </w:rPr>
            </w:pPr>
          </w:p>
        </w:tc>
      </w:tr>
      <w:tr w:rsidR="00900063" w:rsidRPr="00C60C1F" w14:paraId="0A6EC7B1" w14:textId="77777777" w:rsidTr="00581270">
        <w:tc>
          <w:tcPr>
            <w:tcW w:w="6660" w:type="dxa"/>
          </w:tcPr>
          <w:p w14:paraId="36DCABEE" w14:textId="77777777" w:rsidR="00900063" w:rsidRPr="00CF114D" w:rsidRDefault="00900063" w:rsidP="00900063">
            <w:pPr>
              <w:rPr>
                <w:rFonts w:ascii="TimesNewRomanPSMT" w:hAnsi="TimesNewRomanPSMT" w:cs="TimesNewRomanPSMT"/>
                <w:sz w:val="20"/>
                <w:szCs w:val="20"/>
              </w:rPr>
            </w:pPr>
            <w:r w:rsidRPr="00CF114D">
              <w:rPr>
                <w:rFonts w:ascii="TimesNewRomanPSMT" w:hAnsi="TimesNewRomanPSMT" w:cs="TimesNewRomanPSMT"/>
                <w:sz w:val="20"/>
                <w:szCs w:val="20"/>
              </w:rPr>
              <w:t xml:space="preserve">c. </w:t>
            </w:r>
            <w:r w:rsidRPr="00CF114D">
              <w:rPr>
                <w:rFonts w:ascii="TimesNewRomanPS-ItalicMT" w:hAnsi="TimesNewRomanPS-ItalicMT" w:cs="TimesNewRomanPS-ItalicMT"/>
                <w:i/>
                <w:iCs/>
                <w:sz w:val="20"/>
                <w:szCs w:val="20"/>
              </w:rPr>
              <w:t xml:space="preserve">Addressing the Needs of Victims of Domestic Violence. </w:t>
            </w:r>
            <w:r w:rsidRPr="00CF114D">
              <w:rPr>
                <w:rFonts w:ascii="TimesNewRomanPSMT" w:hAnsi="TimesNewRomanPSMT" w:cs="TimesNewRomanPSMT"/>
                <w:sz w:val="20"/>
                <w:szCs w:val="20"/>
              </w:rPr>
              <w:t>Up to 3 points</w:t>
            </w:r>
            <w:r w:rsidRPr="00CF114D">
              <w:rPr>
                <w:rFonts w:ascii="Times New Roman"/>
                <w:sz w:val="20"/>
                <w:szCs w:val="20"/>
              </w:rPr>
              <w:t>.</w:t>
            </w:r>
          </w:p>
        </w:tc>
        <w:tc>
          <w:tcPr>
            <w:tcW w:w="630" w:type="dxa"/>
          </w:tcPr>
          <w:p w14:paraId="4ABC985C" w14:textId="77777777" w:rsidR="00900063" w:rsidRPr="00622711" w:rsidRDefault="00900063" w:rsidP="00537125">
            <w:pPr>
              <w:jc w:val="center"/>
              <w:rPr>
                <w:rFonts w:ascii="Times New Roman"/>
                <w:sz w:val="20"/>
              </w:rPr>
            </w:pPr>
          </w:p>
        </w:tc>
        <w:tc>
          <w:tcPr>
            <w:tcW w:w="1530" w:type="dxa"/>
          </w:tcPr>
          <w:p w14:paraId="402DE587" w14:textId="77777777" w:rsidR="00900063" w:rsidRPr="00622711" w:rsidRDefault="00830BAE" w:rsidP="00537125">
            <w:pPr>
              <w:jc w:val="center"/>
              <w:rPr>
                <w:rFonts w:ascii="Times New Roman"/>
                <w:sz w:val="20"/>
              </w:rPr>
            </w:pPr>
            <w:r>
              <w:rPr>
                <w:rFonts w:ascii="Times New Roman"/>
                <w:sz w:val="20"/>
              </w:rPr>
              <w:t>Anne &amp; Scott</w:t>
            </w:r>
          </w:p>
        </w:tc>
        <w:tc>
          <w:tcPr>
            <w:tcW w:w="720" w:type="dxa"/>
          </w:tcPr>
          <w:p w14:paraId="3BCB394B" w14:textId="77777777" w:rsidR="00900063" w:rsidRPr="00622711" w:rsidRDefault="00900063" w:rsidP="00537125">
            <w:pPr>
              <w:jc w:val="center"/>
              <w:rPr>
                <w:rFonts w:ascii="Times New Roman"/>
                <w:sz w:val="20"/>
              </w:rPr>
            </w:pPr>
          </w:p>
        </w:tc>
        <w:tc>
          <w:tcPr>
            <w:tcW w:w="1350" w:type="dxa"/>
          </w:tcPr>
          <w:p w14:paraId="7E61D67F" w14:textId="77777777" w:rsidR="00900063" w:rsidRPr="00622711" w:rsidRDefault="00900063" w:rsidP="006673C2">
            <w:pPr>
              <w:jc w:val="center"/>
              <w:rPr>
                <w:rFonts w:ascii="Times New Roman"/>
                <w:sz w:val="20"/>
              </w:rPr>
            </w:pPr>
          </w:p>
        </w:tc>
      </w:tr>
      <w:tr w:rsidR="00900063" w:rsidRPr="00C60C1F" w14:paraId="00D9DC6F" w14:textId="77777777" w:rsidTr="00581270">
        <w:tc>
          <w:tcPr>
            <w:tcW w:w="6660" w:type="dxa"/>
          </w:tcPr>
          <w:p w14:paraId="56EF8706" w14:textId="77777777" w:rsidR="00900063" w:rsidRPr="00CF114D" w:rsidRDefault="00900063" w:rsidP="00900063">
            <w:pPr>
              <w:rPr>
                <w:rFonts w:ascii="TimesNewRomanPSMT" w:hAnsi="TimesNewRomanPSMT" w:cs="TimesNewRomanPSMT"/>
                <w:sz w:val="20"/>
                <w:szCs w:val="20"/>
              </w:rPr>
            </w:pPr>
            <w:r w:rsidRPr="00CF114D">
              <w:rPr>
                <w:rFonts w:ascii="TimesNewRomanPSMT" w:hAnsi="TimesNewRomanPSMT" w:cs="TimesNewRomanPSMT"/>
                <w:sz w:val="20"/>
                <w:szCs w:val="20"/>
              </w:rPr>
              <w:t xml:space="preserve">d. </w:t>
            </w:r>
            <w:r w:rsidRPr="00CF114D">
              <w:rPr>
                <w:rFonts w:ascii="TimesNewRomanPS-ItalicMT" w:hAnsi="TimesNewRomanPS-ItalicMT" w:cs="TimesNewRomanPS-ItalicMT"/>
                <w:i/>
                <w:iCs/>
                <w:sz w:val="20"/>
                <w:szCs w:val="20"/>
              </w:rPr>
              <w:t xml:space="preserve">Public Housing Agencies. </w:t>
            </w:r>
            <w:r w:rsidRPr="00CF114D">
              <w:rPr>
                <w:rFonts w:ascii="TimesNewRomanPSMT" w:hAnsi="TimesNewRomanPSMT" w:cs="TimesNewRomanPSMT"/>
                <w:sz w:val="20"/>
                <w:szCs w:val="20"/>
              </w:rPr>
              <w:t>Up to 3 points</w:t>
            </w:r>
          </w:p>
        </w:tc>
        <w:tc>
          <w:tcPr>
            <w:tcW w:w="630" w:type="dxa"/>
          </w:tcPr>
          <w:p w14:paraId="3E1BD416" w14:textId="77777777" w:rsidR="00900063" w:rsidRPr="00622711" w:rsidRDefault="00900063" w:rsidP="00537125">
            <w:pPr>
              <w:jc w:val="center"/>
              <w:rPr>
                <w:rFonts w:ascii="Times New Roman"/>
                <w:sz w:val="20"/>
              </w:rPr>
            </w:pPr>
          </w:p>
        </w:tc>
        <w:tc>
          <w:tcPr>
            <w:tcW w:w="1530" w:type="dxa"/>
          </w:tcPr>
          <w:p w14:paraId="4CA420D7" w14:textId="77777777" w:rsidR="00900063" w:rsidRPr="00622711" w:rsidRDefault="00830BAE" w:rsidP="00537125">
            <w:pPr>
              <w:jc w:val="center"/>
              <w:rPr>
                <w:rFonts w:ascii="Times New Roman"/>
                <w:sz w:val="20"/>
              </w:rPr>
            </w:pPr>
            <w:r>
              <w:rPr>
                <w:rFonts w:ascii="Times New Roman"/>
                <w:sz w:val="20"/>
              </w:rPr>
              <w:t>Anne &amp; Scott</w:t>
            </w:r>
          </w:p>
        </w:tc>
        <w:tc>
          <w:tcPr>
            <w:tcW w:w="720" w:type="dxa"/>
          </w:tcPr>
          <w:p w14:paraId="4F8CB192" w14:textId="77777777" w:rsidR="00900063" w:rsidRPr="00622711" w:rsidRDefault="00900063" w:rsidP="00537125">
            <w:pPr>
              <w:jc w:val="center"/>
              <w:rPr>
                <w:rFonts w:ascii="Times New Roman"/>
                <w:sz w:val="20"/>
              </w:rPr>
            </w:pPr>
          </w:p>
        </w:tc>
        <w:tc>
          <w:tcPr>
            <w:tcW w:w="1350" w:type="dxa"/>
          </w:tcPr>
          <w:p w14:paraId="6385033B" w14:textId="77777777" w:rsidR="00900063" w:rsidRPr="00622711" w:rsidRDefault="00900063" w:rsidP="006673C2">
            <w:pPr>
              <w:jc w:val="center"/>
              <w:rPr>
                <w:rFonts w:ascii="Times New Roman"/>
                <w:sz w:val="20"/>
              </w:rPr>
            </w:pPr>
          </w:p>
        </w:tc>
      </w:tr>
      <w:tr w:rsidR="00900063" w:rsidRPr="00C60C1F" w14:paraId="32252370" w14:textId="77777777" w:rsidTr="00581270">
        <w:tc>
          <w:tcPr>
            <w:tcW w:w="6660" w:type="dxa"/>
          </w:tcPr>
          <w:p w14:paraId="40EA3450" w14:textId="77777777" w:rsidR="00900063" w:rsidRPr="00CF114D" w:rsidRDefault="00900063" w:rsidP="00900063">
            <w:pPr>
              <w:rPr>
                <w:rFonts w:ascii="TimesNewRomanPSMT" w:hAnsi="TimesNewRomanPSMT" w:cs="TimesNewRomanPSMT"/>
                <w:sz w:val="20"/>
                <w:szCs w:val="20"/>
              </w:rPr>
            </w:pPr>
            <w:r w:rsidRPr="00CF114D">
              <w:rPr>
                <w:rFonts w:ascii="TimesNewRomanPSMT" w:hAnsi="TimesNewRomanPSMT" w:cs="TimesNewRomanPSMT"/>
                <w:sz w:val="20"/>
                <w:szCs w:val="20"/>
              </w:rPr>
              <w:t xml:space="preserve">e. </w:t>
            </w:r>
            <w:r w:rsidRPr="00CF114D">
              <w:rPr>
                <w:rFonts w:ascii="TimesNewRomanPS-ItalicMT" w:hAnsi="TimesNewRomanPS-ItalicMT" w:cs="TimesNewRomanPS-ItalicMT"/>
                <w:i/>
                <w:iCs/>
                <w:sz w:val="20"/>
                <w:szCs w:val="20"/>
              </w:rPr>
              <w:t xml:space="preserve">Discharge Planning. </w:t>
            </w:r>
            <w:r w:rsidRPr="00CF114D">
              <w:rPr>
                <w:rFonts w:ascii="TimesNewRomanPSMT" w:hAnsi="TimesNewRomanPSMT" w:cs="TimesNewRomanPSMT"/>
                <w:sz w:val="20"/>
                <w:szCs w:val="20"/>
              </w:rPr>
              <w:t>2 points</w:t>
            </w:r>
          </w:p>
        </w:tc>
        <w:tc>
          <w:tcPr>
            <w:tcW w:w="630" w:type="dxa"/>
          </w:tcPr>
          <w:p w14:paraId="73E5BE6C" w14:textId="77777777" w:rsidR="00900063" w:rsidRPr="00622711" w:rsidRDefault="00900063" w:rsidP="00537125">
            <w:pPr>
              <w:jc w:val="center"/>
              <w:rPr>
                <w:rFonts w:ascii="Times New Roman"/>
                <w:sz w:val="20"/>
              </w:rPr>
            </w:pPr>
          </w:p>
        </w:tc>
        <w:tc>
          <w:tcPr>
            <w:tcW w:w="1530" w:type="dxa"/>
          </w:tcPr>
          <w:p w14:paraId="4FC726FA" w14:textId="77777777" w:rsidR="00900063" w:rsidRPr="00622711" w:rsidRDefault="00830BAE" w:rsidP="00537125">
            <w:pPr>
              <w:jc w:val="center"/>
              <w:rPr>
                <w:rFonts w:ascii="Times New Roman"/>
                <w:sz w:val="20"/>
              </w:rPr>
            </w:pPr>
            <w:r>
              <w:rPr>
                <w:rFonts w:ascii="Times New Roman"/>
                <w:sz w:val="20"/>
              </w:rPr>
              <w:t>Anne &amp; Scott</w:t>
            </w:r>
          </w:p>
        </w:tc>
        <w:tc>
          <w:tcPr>
            <w:tcW w:w="720" w:type="dxa"/>
          </w:tcPr>
          <w:p w14:paraId="262F1479" w14:textId="77777777" w:rsidR="00900063" w:rsidRPr="00622711" w:rsidRDefault="00900063" w:rsidP="00537125">
            <w:pPr>
              <w:jc w:val="center"/>
              <w:rPr>
                <w:rFonts w:ascii="Times New Roman"/>
                <w:sz w:val="20"/>
              </w:rPr>
            </w:pPr>
          </w:p>
        </w:tc>
        <w:tc>
          <w:tcPr>
            <w:tcW w:w="1350" w:type="dxa"/>
          </w:tcPr>
          <w:p w14:paraId="77311CA7" w14:textId="77777777" w:rsidR="00900063" w:rsidRPr="00622711" w:rsidRDefault="00900063" w:rsidP="006673C2">
            <w:pPr>
              <w:jc w:val="center"/>
              <w:rPr>
                <w:rFonts w:ascii="Times New Roman"/>
                <w:sz w:val="20"/>
              </w:rPr>
            </w:pPr>
          </w:p>
        </w:tc>
      </w:tr>
      <w:tr w:rsidR="00900063" w:rsidRPr="00C60C1F" w14:paraId="2A58D31D" w14:textId="77777777" w:rsidTr="00581270">
        <w:tc>
          <w:tcPr>
            <w:tcW w:w="6660" w:type="dxa"/>
          </w:tcPr>
          <w:p w14:paraId="55CD4166" w14:textId="77777777" w:rsidR="00900063" w:rsidRPr="00CF114D" w:rsidRDefault="00900063" w:rsidP="00900063">
            <w:pPr>
              <w:rPr>
                <w:rFonts w:ascii="TimesNewRomanPSMT" w:hAnsi="TimesNewRomanPSMT" w:cs="TimesNewRomanPSMT"/>
                <w:sz w:val="20"/>
                <w:szCs w:val="20"/>
              </w:rPr>
            </w:pPr>
            <w:r w:rsidRPr="00CF114D">
              <w:rPr>
                <w:rFonts w:ascii="TimesNewRomanPSMT" w:hAnsi="TimesNewRomanPSMT" w:cs="TimesNewRomanPSMT"/>
                <w:sz w:val="20"/>
                <w:szCs w:val="20"/>
              </w:rPr>
              <w:lastRenderedPageBreak/>
              <w:t xml:space="preserve">f. </w:t>
            </w:r>
            <w:r w:rsidRPr="00CF114D">
              <w:rPr>
                <w:rFonts w:ascii="TimesNewRomanPS-ItalicMT" w:hAnsi="TimesNewRomanPS-ItalicMT" w:cs="TimesNewRomanPS-ItalicMT"/>
                <w:i/>
                <w:iCs/>
                <w:sz w:val="20"/>
                <w:szCs w:val="20"/>
              </w:rPr>
              <w:t xml:space="preserve">Centralized or Coordinated Assessment System. </w:t>
            </w:r>
            <w:r w:rsidRPr="00CF114D">
              <w:rPr>
                <w:rFonts w:ascii="TimesNewRomanPSMT" w:hAnsi="TimesNewRomanPSMT" w:cs="TimesNewRomanPSMT"/>
                <w:sz w:val="20"/>
                <w:szCs w:val="20"/>
              </w:rPr>
              <w:t>Up to 3 points</w:t>
            </w:r>
          </w:p>
        </w:tc>
        <w:tc>
          <w:tcPr>
            <w:tcW w:w="630" w:type="dxa"/>
          </w:tcPr>
          <w:p w14:paraId="3E52CB5C" w14:textId="77777777" w:rsidR="00900063" w:rsidRPr="00622711" w:rsidRDefault="00900063" w:rsidP="00537125">
            <w:pPr>
              <w:jc w:val="center"/>
              <w:rPr>
                <w:rFonts w:ascii="Times New Roman"/>
                <w:sz w:val="20"/>
              </w:rPr>
            </w:pPr>
          </w:p>
        </w:tc>
        <w:tc>
          <w:tcPr>
            <w:tcW w:w="1530" w:type="dxa"/>
          </w:tcPr>
          <w:p w14:paraId="09505214" w14:textId="77777777" w:rsidR="00900063" w:rsidRPr="00622711" w:rsidRDefault="00830BAE" w:rsidP="00537125">
            <w:pPr>
              <w:jc w:val="center"/>
              <w:rPr>
                <w:rFonts w:ascii="Times New Roman"/>
                <w:sz w:val="20"/>
              </w:rPr>
            </w:pPr>
            <w:r>
              <w:rPr>
                <w:rFonts w:ascii="Times New Roman"/>
                <w:sz w:val="20"/>
              </w:rPr>
              <w:t>Anne &amp; Scott</w:t>
            </w:r>
          </w:p>
        </w:tc>
        <w:tc>
          <w:tcPr>
            <w:tcW w:w="720" w:type="dxa"/>
          </w:tcPr>
          <w:p w14:paraId="696991F2" w14:textId="77777777" w:rsidR="00900063" w:rsidRPr="00622711" w:rsidRDefault="00900063" w:rsidP="00537125">
            <w:pPr>
              <w:jc w:val="center"/>
              <w:rPr>
                <w:rFonts w:ascii="Times New Roman"/>
                <w:sz w:val="20"/>
              </w:rPr>
            </w:pPr>
          </w:p>
        </w:tc>
        <w:tc>
          <w:tcPr>
            <w:tcW w:w="1350" w:type="dxa"/>
          </w:tcPr>
          <w:p w14:paraId="1210D219" w14:textId="77777777" w:rsidR="00900063" w:rsidRPr="00622711" w:rsidRDefault="00900063" w:rsidP="006673C2">
            <w:pPr>
              <w:jc w:val="center"/>
              <w:rPr>
                <w:rFonts w:ascii="Times New Roman"/>
                <w:sz w:val="20"/>
              </w:rPr>
            </w:pPr>
          </w:p>
        </w:tc>
      </w:tr>
      <w:tr w:rsidR="00900063" w:rsidRPr="00C60C1F" w14:paraId="096290C8" w14:textId="77777777" w:rsidTr="00581270">
        <w:tc>
          <w:tcPr>
            <w:tcW w:w="6660" w:type="dxa"/>
          </w:tcPr>
          <w:p w14:paraId="2CA7C4B2" w14:textId="77777777" w:rsidR="00900063" w:rsidRPr="00CF114D" w:rsidRDefault="00900063" w:rsidP="00900063">
            <w:pPr>
              <w:rPr>
                <w:rFonts w:ascii="TimesNewRomanPSMT" w:hAnsi="TimesNewRomanPSMT" w:cs="TimesNewRomanPSMT"/>
                <w:sz w:val="20"/>
                <w:szCs w:val="20"/>
              </w:rPr>
            </w:pPr>
            <w:r w:rsidRPr="00CF114D">
              <w:rPr>
                <w:rFonts w:ascii="TimesNewRomanPSMT" w:hAnsi="TimesNewRomanPSMT" w:cs="TimesNewRomanPSMT"/>
                <w:sz w:val="20"/>
                <w:szCs w:val="20"/>
              </w:rPr>
              <w:t xml:space="preserve">g. </w:t>
            </w:r>
            <w:r w:rsidRPr="00CF114D">
              <w:rPr>
                <w:rFonts w:ascii="TimesNewRomanPS-ItalicMT" w:hAnsi="TimesNewRomanPS-ItalicMT" w:cs="TimesNewRomanPS-ItalicMT"/>
                <w:i/>
                <w:iCs/>
                <w:sz w:val="20"/>
                <w:szCs w:val="20"/>
              </w:rPr>
              <w:t xml:space="preserve">Housing First and Reducing Barriers. </w:t>
            </w:r>
            <w:r w:rsidRPr="00CF114D">
              <w:rPr>
                <w:rFonts w:ascii="TimesNewRomanPSMT" w:hAnsi="TimesNewRomanPSMT" w:cs="TimesNewRomanPSMT"/>
                <w:sz w:val="20"/>
                <w:szCs w:val="20"/>
              </w:rPr>
              <w:t>Up to 12 points</w:t>
            </w:r>
          </w:p>
        </w:tc>
        <w:tc>
          <w:tcPr>
            <w:tcW w:w="630" w:type="dxa"/>
          </w:tcPr>
          <w:p w14:paraId="3B31AD3E" w14:textId="77777777" w:rsidR="00900063" w:rsidRPr="00622711" w:rsidRDefault="00900063" w:rsidP="00537125">
            <w:pPr>
              <w:jc w:val="center"/>
              <w:rPr>
                <w:rFonts w:ascii="Times New Roman"/>
                <w:sz w:val="20"/>
              </w:rPr>
            </w:pPr>
          </w:p>
        </w:tc>
        <w:tc>
          <w:tcPr>
            <w:tcW w:w="1530" w:type="dxa"/>
          </w:tcPr>
          <w:p w14:paraId="7BCFEF6C" w14:textId="77777777" w:rsidR="00900063" w:rsidRPr="00622711" w:rsidRDefault="00830BAE" w:rsidP="00537125">
            <w:pPr>
              <w:jc w:val="center"/>
              <w:rPr>
                <w:rFonts w:ascii="Times New Roman"/>
                <w:sz w:val="20"/>
              </w:rPr>
            </w:pPr>
            <w:r>
              <w:rPr>
                <w:rFonts w:ascii="Times New Roman"/>
                <w:sz w:val="20"/>
              </w:rPr>
              <w:t>Anne &amp; Scott</w:t>
            </w:r>
          </w:p>
        </w:tc>
        <w:tc>
          <w:tcPr>
            <w:tcW w:w="720" w:type="dxa"/>
          </w:tcPr>
          <w:p w14:paraId="73210282" w14:textId="77777777" w:rsidR="00900063" w:rsidRPr="00622711" w:rsidRDefault="00900063" w:rsidP="00537125">
            <w:pPr>
              <w:jc w:val="center"/>
              <w:rPr>
                <w:rFonts w:ascii="Times New Roman"/>
                <w:sz w:val="20"/>
              </w:rPr>
            </w:pPr>
          </w:p>
        </w:tc>
        <w:tc>
          <w:tcPr>
            <w:tcW w:w="1350" w:type="dxa"/>
          </w:tcPr>
          <w:p w14:paraId="546A343B" w14:textId="77777777" w:rsidR="00900063" w:rsidRPr="00622711" w:rsidRDefault="00900063" w:rsidP="006673C2">
            <w:pPr>
              <w:jc w:val="center"/>
              <w:rPr>
                <w:rFonts w:ascii="Times New Roman"/>
                <w:sz w:val="20"/>
              </w:rPr>
            </w:pPr>
          </w:p>
        </w:tc>
      </w:tr>
      <w:tr w:rsidR="00900063" w:rsidRPr="00C60C1F" w14:paraId="2C3D72D1" w14:textId="77777777" w:rsidTr="00581270">
        <w:tc>
          <w:tcPr>
            <w:tcW w:w="6660" w:type="dxa"/>
          </w:tcPr>
          <w:p w14:paraId="2558F7DD" w14:textId="77777777" w:rsidR="00900063" w:rsidRPr="00CF114D" w:rsidRDefault="00900063" w:rsidP="00900063">
            <w:pPr>
              <w:rPr>
                <w:rFonts w:ascii="TimesNewRomanPSMT" w:hAnsi="TimesNewRomanPSMT" w:cs="TimesNewRomanPSMT"/>
                <w:sz w:val="20"/>
                <w:szCs w:val="20"/>
              </w:rPr>
            </w:pPr>
            <w:r w:rsidRPr="00CF114D">
              <w:rPr>
                <w:rFonts w:ascii="TimesNewRomanPSMT" w:hAnsi="TimesNewRomanPSMT" w:cs="TimesNewRomanPSMT"/>
                <w:sz w:val="20"/>
                <w:szCs w:val="20"/>
              </w:rPr>
              <w:t xml:space="preserve">h. </w:t>
            </w:r>
            <w:r w:rsidRPr="00CF114D">
              <w:rPr>
                <w:rFonts w:ascii="TimesNewRomanPS-ItalicMT" w:hAnsi="TimesNewRomanPS-ItalicMT" w:cs="TimesNewRomanPS-ItalicMT"/>
                <w:i/>
                <w:iCs/>
                <w:sz w:val="20"/>
                <w:szCs w:val="20"/>
              </w:rPr>
              <w:t xml:space="preserve">Outreach. </w:t>
            </w:r>
            <w:r w:rsidRPr="00CF114D">
              <w:rPr>
                <w:rFonts w:ascii="TimesNewRomanPSMT" w:hAnsi="TimesNewRomanPSMT" w:cs="TimesNewRomanPSMT"/>
                <w:sz w:val="20"/>
                <w:szCs w:val="20"/>
              </w:rPr>
              <w:t>Up to 3 points</w:t>
            </w:r>
          </w:p>
        </w:tc>
        <w:tc>
          <w:tcPr>
            <w:tcW w:w="630" w:type="dxa"/>
          </w:tcPr>
          <w:p w14:paraId="61299D65" w14:textId="77777777" w:rsidR="00900063" w:rsidRPr="00622711" w:rsidRDefault="00900063" w:rsidP="00537125">
            <w:pPr>
              <w:jc w:val="center"/>
              <w:rPr>
                <w:rFonts w:ascii="Times New Roman"/>
                <w:sz w:val="20"/>
              </w:rPr>
            </w:pPr>
          </w:p>
        </w:tc>
        <w:tc>
          <w:tcPr>
            <w:tcW w:w="1530" w:type="dxa"/>
          </w:tcPr>
          <w:p w14:paraId="148809CE" w14:textId="77777777" w:rsidR="00900063" w:rsidRPr="00622711" w:rsidRDefault="00830BAE" w:rsidP="00537125">
            <w:pPr>
              <w:jc w:val="center"/>
              <w:rPr>
                <w:rFonts w:ascii="Times New Roman"/>
                <w:sz w:val="20"/>
              </w:rPr>
            </w:pPr>
            <w:r>
              <w:rPr>
                <w:rFonts w:ascii="Times New Roman"/>
                <w:sz w:val="20"/>
              </w:rPr>
              <w:t>Anne &amp; Scott</w:t>
            </w:r>
          </w:p>
        </w:tc>
        <w:tc>
          <w:tcPr>
            <w:tcW w:w="720" w:type="dxa"/>
          </w:tcPr>
          <w:p w14:paraId="41ECDCB5" w14:textId="77777777" w:rsidR="00900063" w:rsidRPr="00622711" w:rsidRDefault="00900063" w:rsidP="00537125">
            <w:pPr>
              <w:jc w:val="center"/>
              <w:rPr>
                <w:rFonts w:ascii="Times New Roman"/>
                <w:sz w:val="20"/>
              </w:rPr>
            </w:pPr>
          </w:p>
        </w:tc>
        <w:tc>
          <w:tcPr>
            <w:tcW w:w="1350" w:type="dxa"/>
          </w:tcPr>
          <w:p w14:paraId="36DBE06C" w14:textId="77777777" w:rsidR="00900063" w:rsidRPr="00622711" w:rsidRDefault="00900063" w:rsidP="006673C2">
            <w:pPr>
              <w:jc w:val="center"/>
              <w:rPr>
                <w:rFonts w:ascii="Times New Roman"/>
                <w:sz w:val="20"/>
              </w:rPr>
            </w:pPr>
          </w:p>
        </w:tc>
      </w:tr>
      <w:tr w:rsidR="00900063" w:rsidRPr="00C60C1F" w14:paraId="1E9A4F2F" w14:textId="77777777" w:rsidTr="00581270">
        <w:tc>
          <w:tcPr>
            <w:tcW w:w="6660" w:type="dxa"/>
          </w:tcPr>
          <w:p w14:paraId="4C6A7EC3" w14:textId="77777777" w:rsidR="00900063" w:rsidRPr="00CF114D" w:rsidRDefault="00900063" w:rsidP="00900063">
            <w:pPr>
              <w:rPr>
                <w:rFonts w:ascii="Times New Roman"/>
                <w:sz w:val="20"/>
                <w:szCs w:val="20"/>
              </w:rPr>
            </w:pPr>
            <w:proofErr w:type="spellStart"/>
            <w:r w:rsidRPr="00CF114D">
              <w:rPr>
                <w:rFonts w:ascii="TimesNewRomanPSMT" w:hAnsi="TimesNewRomanPSMT" w:cs="TimesNewRomanPSMT"/>
                <w:sz w:val="20"/>
                <w:szCs w:val="20"/>
              </w:rPr>
              <w:t>i</w:t>
            </w:r>
            <w:proofErr w:type="spellEnd"/>
            <w:r w:rsidRPr="00CF114D">
              <w:rPr>
                <w:rFonts w:ascii="TimesNewRomanPSMT" w:hAnsi="TimesNewRomanPSMT" w:cs="TimesNewRomanPSMT"/>
                <w:sz w:val="20"/>
                <w:szCs w:val="20"/>
              </w:rPr>
              <w:t xml:space="preserve">. </w:t>
            </w:r>
            <w:r w:rsidRPr="00CF114D">
              <w:rPr>
                <w:rFonts w:ascii="TimesNewRomanPS-ItalicMT" w:hAnsi="TimesNewRomanPS-ItalicMT" w:cs="TimesNewRomanPS-ItalicMT"/>
                <w:i/>
                <w:iCs/>
                <w:sz w:val="20"/>
                <w:szCs w:val="20"/>
              </w:rPr>
              <w:t xml:space="preserve">Criminalization. </w:t>
            </w:r>
            <w:r w:rsidRPr="00CF114D">
              <w:rPr>
                <w:rFonts w:ascii="TimesNewRomanPSMT" w:hAnsi="TimesNewRomanPSMT" w:cs="TimesNewRomanPSMT"/>
                <w:sz w:val="20"/>
                <w:szCs w:val="20"/>
              </w:rPr>
              <w:t>Up to 2 points</w:t>
            </w:r>
          </w:p>
        </w:tc>
        <w:tc>
          <w:tcPr>
            <w:tcW w:w="630" w:type="dxa"/>
          </w:tcPr>
          <w:p w14:paraId="2C8DD994" w14:textId="77777777" w:rsidR="00900063" w:rsidRPr="00622711" w:rsidRDefault="00900063" w:rsidP="00537125">
            <w:pPr>
              <w:jc w:val="center"/>
              <w:rPr>
                <w:rFonts w:ascii="Times New Roman"/>
                <w:sz w:val="20"/>
              </w:rPr>
            </w:pPr>
          </w:p>
        </w:tc>
        <w:tc>
          <w:tcPr>
            <w:tcW w:w="1530" w:type="dxa"/>
          </w:tcPr>
          <w:p w14:paraId="58E0DB54" w14:textId="77777777" w:rsidR="00900063" w:rsidRPr="00622711" w:rsidRDefault="00830BAE" w:rsidP="00537125">
            <w:pPr>
              <w:jc w:val="center"/>
              <w:rPr>
                <w:rFonts w:ascii="Times New Roman"/>
                <w:sz w:val="20"/>
              </w:rPr>
            </w:pPr>
            <w:r>
              <w:rPr>
                <w:rFonts w:ascii="Times New Roman"/>
                <w:sz w:val="20"/>
              </w:rPr>
              <w:t>Anne &amp; Scott</w:t>
            </w:r>
          </w:p>
        </w:tc>
        <w:tc>
          <w:tcPr>
            <w:tcW w:w="720" w:type="dxa"/>
          </w:tcPr>
          <w:p w14:paraId="454B1A2E" w14:textId="77777777" w:rsidR="00900063" w:rsidRPr="00622711" w:rsidRDefault="00900063" w:rsidP="00537125">
            <w:pPr>
              <w:jc w:val="center"/>
              <w:rPr>
                <w:rFonts w:ascii="Times New Roman"/>
                <w:sz w:val="20"/>
              </w:rPr>
            </w:pPr>
          </w:p>
        </w:tc>
        <w:tc>
          <w:tcPr>
            <w:tcW w:w="1350" w:type="dxa"/>
          </w:tcPr>
          <w:p w14:paraId="6D38296E" w14:textId="77777777" w:rsidR="00900063" w:rsidRPr="00622711" w:rsidRDefault="00900063" w:rsidP="006673C2">
            <w:pPr>
              <w:jc w:val="center"/>
              <w:rPr>
                <w:rFonts w:ascii="Times New Roman"/>
                <w:sz w:val="20"/>
              </w:rPr>
            </w:pPr>
          </w:p>
        </w:tc>
      </w:tr>
      <w:tr w:rsidR="00900063" w:rsidRPr="00C60C1F" w14:paraId="6F9CC32E" w14:textId="77777777" w:rsidTr="00830BAE">
        <w:trPr>
          <w:trHeight w:val="260"/>
        </w:trPr>
        <w:tc>
          <w:tcPr>
            <w:tcW w:w="6660" w:type="dxa"/>
          </w:tcPr>
          <w:p w14:paraId="20DC790C" w14:textId="77777777" w:rsidR="00900063" w:rsidRPr="00CF114D" w:rsidRDefault="00900063" w:rsidP="00900063">
            <w:pPr>
              <w:rPr>
                <w:rFonts w:ascii="Times New Roman"/>
                <w:sz w:val="20"/>
                <w:szCs w:val="20"/>
              </w:rPr>
            </w:pPr>
            <w:r w:rsidRPr="00CF114D">
              <w:rPr>
                <w:rFonts w:ascii="TimesNewRomanPSMT" w:hAnsi="TimesNewRomanPSMT" w:cs="TimesNewRomanPSMT"/>
                <w:sz w:val="20"/>
                <w:szCs w:val="20"/>
              </w:rPr>
              <w:t xml:space="preserve">j. </w:t>
            </w:r>
            <w:r w:rsidRPr="00CF114D">
              <w:rPr>
                <w:rFonts w:ascii="TimesNewRomanPS-ItalicMT" w:hAnsi="TimesNewRomanPS-ItalicMT" w:cs="TimesNewRomanPS-ItalicMT"/>
                <w:i/>
                <w:iCs/>
                <w:sz w:val="20"/>
                <w:szCs w:val="20"/>
              </w:rPr>
              <w:t xml:space="preserve">Rapid Rehousing. </w:t>
            </w:r>
            <w:r w:rsidRPr="00CF114D">
              <w:rPr>
                <w:rFonts w:ascii="TimesNewRomanPSMT" w:hAnsi="TimesNewRomanPSMT" w:cs="TimesNewRomanPSMT"/>
                <w:sz w:val="20"/>
                <w:szCs w:val="20"/>
              </w:rPr>
              <w:t>Up to 4 points</w:t>
            </w:r>
          </w:p>
        </w:tc>
        <w:tc>
          <w:tcPr>
            <w:tcW w:w="630" w:type="dxa"/>
          </w:tcPr>
          <w:p w14:paraId="451C72F6" w14:textId="77777777" w:rsidR="00900063" w:rsidRPr="00622711" w:rsidRDefault="00900063" w:rsidP="00537125">
            <w:pPr>
              <w:jc w:val="center"/>
              <w:rPr>
                <w:rFonts w:ascii="Times New Roman"/>
                <w:sz w:val="20"/>
              </w:rPr>
            </w:pPr>
          </w:p>
        </w:tc>
        <w:tc>
          <w:tcPr>
            <w:tcW w:w="1530" w:type="dxa"/>
          </w:tcPr>
          <w:p w14:paraId="6F732AA5" w14:textId="77777777" w:rsidR="00900063" w:rsidRPr="00622711" w:rsidRDefault="00830BAE" w:rsidP="00537125">
            <w:pPr>
              <w:jc w:val="center"/>
              <w:rPr>
                <w:rFonts w:ascii="Times New Roman"/>
                <w:sz w:val="20"/>
              </w:rPr>
            </w:pPr>
            <w:r>
              <w:rPr>
                <w:rFonts w:ascii="Times New Roman"/>
                <w:sz w:val="20"/>
              </w:rPr>
              <w:t>Anne &amp; Scott</w:t>
            </w:r>
          </w:p>
        </w:tc>
        <w:tc>
          <w:tcPr>
            <w:tcW w:w="720" w:type="dxa"/>
          </w:tcPr>
          <w:p w14:paraId="3037EFA2" w14:textId="77777777" w:rsidR="00900063" w:rsidRPr="00622711" w:rsidRDefault="00900063" w:rsidP="00537125">
            <w:pPr>
              <w:jc w:val="center"/>
              <w:rPr>
                <w:rFonts w:ascii="Times New Roman"/>
                <w:sz w:val="20"/>
              </w:rPr>
            </w:pPr>
          </w:p>
        </w:tc>
        <w:tc>
          <w:tcPr>
            <w:tcW w:w="1350" w:type="dxa"/>
          </w:tcPr>
          <w:p w14:paraId="6CF0DEB5" w14:textId="77777777" w:rsidR="00900063" w:rsidRPr="00622711" w:rsidRDefault="00900063" w:rsidP="006673C2">
            <w:pPr>
              <w:jc w:val="center"/>
              <w:rPr>
                <w:rFonts w:ascii="Times New Roman"/>
                <w:sz w:val="20"/>
              </w:rPr>
            </w:pPr>
          </w:p>
        </w:tc>
      </w:tr>
      <w:tr w:rsidR="00537125" w:rsidRPr="00C60C1F" w14:paraId="57FC54D7" w14:textId="77777777" w:rsidTr="00581270">
        <w:tc>
          <w:tcPr>
            <w:tcW w:w="6660" w:type="dxa"/>
          </w:tcPr>
          <w:p w14:paraId="6BF8BE9C" w14:textId="77777777" w:rsidR="004A6AD8" w:rsidRPr="00CF114D" w:rsidRDefault="00900063" w:rsidP="00900063">
            <w:pPr>
              <w:rPr>
                <w:rFonts w:ascii="Times New Roman"/>
                <w:sz w:val="20"/>
                <w:szCs w:val="20"/>
              </w:rPr>
            </w:pPr>
            <w:r w:rsidRPr="00CF114D">
              <w:rPr>
                <w:rFonts w:ascii="TimesNewRomanPSMT" w:hAnsi="TimesNewRomanPSMT" w:cs="TimesNewRomanPSMT"/>
                <w:sz w:val="20"/>
                <w:szCs w:val="20"/>
              </w:rPr>
              <w:t xml:space="preserve">k. </w:t>
            </w:r>
            <w:r w:rsidRPr="00CF114D">
              <w:rPr>
                <w:rFonts w:ascii="TimesNewRomanPS-ItalicMT" w:hAnsi="TimesNewRomanPS-ItalicMT" w:cs="TimesNewRomanPS-ItalicMT"/>
                <w:i/>
                <w:iCs/>
                <w:sz w:val="20"/>
                <w:szCs w:val="20"/>
              </w:rPr>
              <w:t xml:space="preserve">Mainstream Benefits and Other Assistance. </w:t>
            </w:r>
            <w:r w:rsidRPr="00CF114D">
              <w:rPr>
                <w:rFonts w:ascii="TimesNewRomanPSMT" w:hAnsi="TimesNewRomanPSMT" w:cs="TimesNewRomanPSMT"/>
                <w:sz w:val="20"/>
                <w:szCs w:val="20"/>
              </w:rPr>
              <w:t>Up to 2 points</w:t>
            </w:r>
          </w:p>
        </w:tc>
        <w:tc>
          <w:tcPr>
            <w:tcW w:w="630" w:type="dxa"/>
          </w:tcPr>
          <w:p w14:paraId="40B54D19" w14:textId="77777777" w:rsidR="00537125" w:rsidRPr="00622711" w:rsidRDefault="00537125" w:rsidP="00537125">
            <w:pPr>
              <w:jc w:val="center"/>
              <w:rPr>
                <w:rFonts w:ascii="Times New Roman"/>
                <w:sz w:val="20"/>
              </w:rPr>
            </w:pPr>
          </w:p>
        </w:tc>
        <w:tc>
          <w:tcPr>
            <w:tcW w:w="1530" w:type="dxa"/>
          </w:tcPr>
          <w:p w14:paraId="065B9D9D" w14:textId="77777777" w:rsidR="00537125" w:rsidRPr="00622711" w:rsidRDefault="00830BAE" w:rsidP="00537125">
            <w:pPr>
              <w:jc w:val="center"/>
              <w:rPr>
                <w:rFonts w:ascii="Times New Roman"/>
                <w:sz w:val="20"/>
              </w:rPr>
            </w:pPr>
            <w:r>
              <w:rPr>
                <w:rFonts w:ascii="Times New Roman"/>
                <w:sz w:val="20"/>
              </w:rPr>
              <w:t>Anne &amp; Scott</w:t>
            </w:r>
          </w:p>
        </w:tc>
        <w:tc>
          <w:tcPr>
            <w:tcW w:w="720" w:type="dxa"/>
          </w:tcPr>
          <w:p w14:paraId="03BA483C" w14:textId="77777777" w:rsidR="00537125" w:rsidRPr="00622711" w:rsidRDefault="00537125" w:rsidP="00537125">
            <w:pPr>
              <w:jc w:val="center"/>
              <w:rPr>
                <w:rFonts w:ascii="Times New Roman"/>
                <w:sz w:val="20"/>
              </w:rPr>
            </w:pPr>
          </w:p>
        </w:tc>
        <w:tc>
          <w:tcPr>
            <w:tcW w:w="1350" w:type="dxa"/>
          </w:tcPr>
          <w:p w14:paraId="1C71E21E" w14:textId="77777777" w:rsidR="00537125" w:rsidRPr="00622711" w:rsidRDefault="00537125" w:rsidP="006673C2">
            <w:pPr>
              <w:jc w:val="center"/>
              <w:rPr>
                <w:rFonts w:ascii="Times New Roman"/>
                <w:sz w:val="20"/>
              </w:rPr>
            </w:pPr>
          </w:p>
        </w:tc>
      </w:tr>
      <w:tr w:rsidR="00212683" w:rsidRPr="00C60C1F" w14:paraId="438D4F13" w14:textId="77777777" w:rsidTr="00581270">
        <w:tc>
          <w:tcPr>
            <w:tcW w:w="6660" w:type="dxa"/>
            <w:shd w:val="clear" w:color="auto" w:fill="B2A1C7" w:themeFill="accent4" w:themeFillTint="99"/>
          </w:tcPr>
          <w:p w14:paraId="064FA1F0" w14:textId="77777777" w:rsidR="00212683" w:rsidRPr="00CF114D" w:rsidRDefault="00623301" w:rsidP="007C2B0D">
            <w:pPr>
              <w:rPr>
                <w:b/>
                <w:sz w:val="20"/>
                <w:szCs w:val="20"/>
              </w:rPr>
            </w:pPr>
            <w:r w:rsidRPr="00CF114D">
              <w:rPr>
                <w:rFonts w:ascii="TimesNewRomanPS-BoldMT" w:hAnsi="TimesNewRomanPS-BoldMT" w:cs="TimesNewRomanPS-BoldMT"/>
                <w:b/>
                <w:bCs/>
                <w:sz w:val="20"/>
                <w:szCs w:val="20"/>
              </w:rPr>
              <w:t xml:space="preserve">2. Project Ranking, Review, and Capacity. </w:t>
            </w:r>
            <w:r w:rsidRPr="00CF114D">
              <w:rPr>
                <w:rFonts w:ascii="TimesNewRomanPSMT" w:hAnsi="TimesNewRomanPSMT" w:cs="TimesNewRomanPSMT"/>
                <w:sz w:val="20"/>
                <w:szCs w:val="20"/>
              </w:rPr>
              <w:t>up to 30 points</w:t>
            </w:r>
          </w:p>
        </w:tc>
        <w:tc>
          <w:tcPr>
            <w:tcW w:w="630" w:type="dxa"/>
            <w:shd w:val="clear" w:color="auto" w:fill="B2A1C7" w:themeFill="accent4" w:themeFillTint="99"/>
          </w:tcPr>
          <w:p w14:paraId="380421E5" w14:textId="77777777" w:rsidR="00212683" w:rsidRPr="00581270" w:rsidRDefault="00212683" w:rsidP="003D443B">
            <w:pPr>
              <w:jc w:val="center"/>
              <w:rPr>
                <w:b/>
                <w:sz w:val="24"/>
                <w:szCs w:val="24"/>
              </w:rPr>
            </w:pPr>
            <w:r w:rsidRPr="00581270">
              <w:rPr>
                <w:b/>
                <w:sz w:val="24"/>
                <w:szCs w:val="24"/>
              </w:rPr>
              <w:t>CA</w:t>
            </w:r>
          </w:p>
        </w:tc>
        <w:tc>
          <w:tcPr>
            <w:tcW w:w="1530" w:type="dxa"/>
            <w:shd w:val="clear" w:color="auto" w:fill="B2A1C7" w:themeFill="accent4" w:themeFillTint="99"/>
          </w:tcPr>
          <w:p w14:paraId="11952064" w14:textId="77777777" w:rsidR="00212683" w:rsidRPr="00581270" w:rsidRDefault="00212683" w:rsidP="003D443B">
            <w:pPr>
              <w:jc w:val="center"/>
              <w:rPr>
                <w:b/>
                <w:sz w:val="24"/>
                <w:szCs w:val="24"/>
              </w:rPr>
            </w:pPr>
            <w:r w:rsidRPr="00581270">
              <w:rPr>
                <w:b/>
                <w:sz w:val="24"/>
                <w:szCs w:val="24"/>
              </w:rPr>
              <w:t>Consultants</w:t>
            </w:r>
          </w:p>
        </w:tc>
        <w:tc>
          <w:tcPr>
            <w:tcW w:w="720" w:type="dxa"/>
            <w:shd w:val="clear" w:color="auto" w:fill="B2A1C7" w:themeFill="accent4" w:themeFillTint="99"/>
          </w:tcPr>
          <w:p w14:paraId="210859C6" w14:textId="77777777" w:rsidR="00212683" w:rsidRPr="00581270" w:rsidRDefault="00212683" w:rsidP="003D443B">
            <w:pPr>
              <w:jc w:val="center"/>
              <w:rPr>
                <w:b/>
                <w:sz w:val="24"/>
                <w:szCs w:val="24"/>
              </w:rPr>
            </w:pPr>
            <w:r w:rsidRPr="00581270">
              <w:rPr>
                <w:b/>
                <w:sz w:val="24"/>
                <w:szCs w:val="24"/>
              </w:rPr>
              <w:t>CoC</w:t>
            </w:r>
          </w:p>
        </w:tc>
        <w:tc>
          <w:tcPr>
            <w:tcW w:w="1350" w:type="dxa"/>
            <w:shd w:val="clear" w:color="auto" w:fill="B2A1C7" w:themeFill="accent4" w:themeFillTint="99"/>
          </w:tcPr>
          <w:p w14:paraId="5868B24E" w14:textId="77777777" w:rsidR="00212683" w:rsidRPr="00581270" w:rsidRDefault="00212683" w:rsidP="003D443B">
            <w:pPr>
              <w:jc w:val="center"/>
              <w:rPr>
                <w:b/>
                <w:sz w:val="24"/>
                <w:szCs w:val="24"/>
              </w:rPr>
            </w:pPr>
            <w:r w:rsidRPr="00581270">
              <w:rPr>
                <w:b/>
                <w:sz w:val="24"/>
                <w:szCs w:val="24"/>
              </w:rPr>
              <w:t>Committee</w:t>
            </w:r>
          </w:p>
        </w:tc>
      </w:tr>
      <w:tr w:rsidR="00623301" w:rsidRPr="00C60C1F" w14:paraId="107C2818" w14:textId="77777777" w:rsidTr="003160FA">
        <w:trPr>
          <w:trHeight w:val="260"/>
        </w:trPr>
        <w:tc>
          <w:tcPr>
            <w:tcW w:w="6660" w:type="dxa"/>
            <w:shd w:val="clear" w:color="auto" w:fill="auto"/>
          </w:tcPr>
          <w:p w14:paraId="1F1F6598" w14:textId="77777777" w:rsidR="00623301" w:rsidRPr="00F239DE" w:rsidRDefault="00623301" w:rsidP="007C2B0D">
            <w:pPr>
              <w:rPr>
                <w:b/>
                <w:sz w:val="20"/>
                <w:szCs w:val="20"/>
                <w:highlight w:val="green"/>
              </w:rPr>
            </w:pPr>
            <w:r w:rsidRPr="00F239DE">
              <w:rPr>
                <w:rFonts w:ascii="TimesNewRomanPSMT" w:hAnsi="TimesNewRomanPSMT" w:cs="TimesNewRomanPSMT"/>
                <w:sz w:val="20"/>
                <w:szCs w:val="20"/>
                <w:highlight w:val="green"/>
              </w:rPr>
              <w:t xml:space="preserve">a. </w:t>
            </w:r>
            <w:r w:rsidRPr="00F239DE">
              <w:rPr>
                <w:rFonts w:ascii="TimesNewRomanPS-ItalicMT" w:hAnsi="TimesNewRomanPS-ItalicMT" w:cs="TimesNewRomanPS-ItalicMT"/>
                <w:i/>
                <w:iCs/>
                <w:sz w:val="20"/>
                <w:szCs w:val="20"/>
                <w:highlight w:val="green"/>
              </w:rPr>
              <w:t xml:space="preserve">Objective Criteria and Past Performance. </w:t>
            </w:r>
            <w:r w:rsidRPr="00F239DE">
              <w:rPr>
                <w:rFonts w:ascii="TimesNewRomanPSMT" w:hAnsi="TimesNewRomanPSMT" w:cs="TimesNewRomanPSMT"/>
                <w:sz w:val="20"/>
                <w:szCs w:val="20"/>
                <w:highlight w:val="green"/>
              </w:rPr>
              <w:t>Up to 18 points</w:t>
            </w:r>
          </w:p>
        </w:tc>
        <w:tc>
          <w:tcPr>
            <w:tcW w:w="630" w:type="dxa"/>
            <w:shd w:val="clear" w:color="auto" w:fill="auto"/>
          </w:tcPr>
          <w:p w14:paraId="12893BF5" w14:textId="77777777" w:rsidR="00623301" w:rsidRPr="00622711" w:rsidRDefault="00623301" w:rsidP="00537125">
            <w:pPr>
              <w:jc w:val="center"/>
              <w:rPr>
                <w:rFonts w:ascii="Times New Roman"/>
                <w:color w:val="000000"/>
                <w:sz w:val="20"/>
              </w:rPr>
            </w:pPr>
          </w:p>
        </w:tc>
        <w:tc>
          <w:tcPr>
            <w:tcW w:w="1530" w:type="dxa"/>
            <w:shd w:val="clear" w:color="auto" w:fill="auto"/>
          </w:tcPr>
          <w:p w14:paraId="35CDE146" w14:textId="77777777" w:rsidR="00623301" w:rsidRPr="00622711" w:rsidRDefault="00CD3D44" w:rsidP="00537125">
            <w:pPr>
              <w:jc w:val="center"/>
              <w:rPr>
                <w:rFonts w:ascii="Times New Roman"/>
                <w:color w:val="000000"/>
                <w:sz w:val="20"/>
              </w:rPr>
            </w:pPr>
            <w:r>
              <w:rPr>
                <w:rFonts w:ascii="Times New Roman"/>
                <w:color w:val="000000"/>
                <w:sz w:val="20"/>
              </w:rPr>
              <w:t>Amy</w:t>
            </w:r>
          </w:p>
        </w:tc>
        <w:tc>
          <w:tcPr>
            <w:tcW w:w="720" w:type="dxa"/>
            <w:shd w:val="clear" w:color="auto" w:fill="auto"/>
          </w:tcPr>
          <w:p w14:paraId="364807E8" w14:textId="77777777" w:rsidR="00623301" w:rsidRPr="00622711" w:rsidRDefault="00623301" w:rsidP="00537125">
            <w:pPr>
              <w:jc w:val="center"/>
              <w:rPr>
                <w:rFonts w:ascii="Times New Roman"/>
                <w:color w:val="000000"/>
                <w:sz w:val="20"/>
              </w:rPr>
            </w:pPr>
          </w:p>
        </w:tc>
        <w:tc>
          <w:tcPr>
            <w:tcW w:w="1350" w:type="dxa"/>
            <w:shd w:val="clear" w:color="auto" w:fill="auto"/>
          </w:tcPr>
          <w:p w14:paraId="04642215" w14:textId="77777777" w:rsidR="00623301" w:rsidRPr="00622711" w:rsidRDefault="00623301" w:rsidP="006673C2">
            <w:pPr>
              <w:jc w:val="center"/>
              <w:rPr>
                <w:rFonts w:ascii="Times New Roman"/>
                <w:color w:val="000000"/>
                <w:sz w:val="20"/>
              </w:rPr>
            </w:pPr>
          </w:p>
        </w:tc>
      </w:tr>
      <w:tr w:rsidR="00623301" w:rsidRPr="00C60C1F" w14:paraId="15969F2E" w14:textId="77777777" w:rsidTr="00623301">
        <w:tc>
          <w:tcPr>
            <w:tcW w:w="6660" w:type="dxa"/>
            <w:shd w:val="clear" w:color="auto" w:fill="auto"/>
          </w:tcPr>
          <w:p w14:paraId="061AD77F" w14:textId="77777777" w:rsidR="00623301" w:rsidRPr="00F239DE" w:rsidRDefault="00623301" w:rsidP="007C2B0D">
            <w:pPr>
              <w:rPr>
                <w:b/>
                <w:sz w:val="20"/>
                <w:szCs w:val="20"/>
                <w:highlight w:val="green"/>
              </w:rPr>
            </w:pPr>
            <w:r w:rsidRPr="00F239DE">
              <w:rPr>
                <w:rFonts w:ascii="TimesNewRomanPSMT" w:hAnsi="TimesNewRomanPSMT" w:cs="TimesNewRomanPSMT"/>
                <w:sz w:val="20"/>
                <w:szCs w:val="20"/>
                <w:highlight w:val="green"/>
              </w:rPr>
              <w:t xml:space="preserve">b. </w:t>
            </w:r>
            <w:r w:rsidRPr="00F239DE">
              <w:rPr>
                <w:rFonts w:ascii="TimesNewRomanPS-ItalicMT" w:hAnsi="TimesNewRomanPS-ItalicMT" w:cs="TimesNewRomanPS-ItalicMT"/>
                <w:i/>
                <w:iCs/>
                <w:sz w:val="20"/>
                <w:szCs w:val="20"/>
                <w:highlight w:val="green"/>
              </w:rPr>
              <w:t xml:space="preserve">Reallocating Projects. </w:t>
            </w:r>
            <w:r w:rsidRPr="00F239DE">
              <w:rPr>
                <w:rFonts w:ascii="TimesNewRomanPSMT" w:hAnsi="TimesNewRomanPSMT" w:cs="TimesNewRomanPSMT"/>
                <w:sz w:val="20"/>
                <w:szCs w:val="20"/>
                <w:highlight w:val="green"/>
              </w:rPr>
              <w:t>Up to 4 points</w:t>
            </w:r>
          </w:p>
        </w:tc>
        <w:tc>
          <w:tcPr>
            <w:tcW w:w="630" w:type="dxa"/>
            <w:shd w:val="clear" w:color="auto" w:fill="auto"/>
          </w:tcPr>
          <w:p w14:paraId="4EC9CE25" w14:textId="77777777" w:rsidR="00623301" w:rsidRPr="00622711" w:rsidRDefault="00623301" w:rsidP="00537125">
            <w:pPr>
              <w:jc w:val="center"/>
              <w:rPr>
                <w:rFonts w:ascii="Times New Roman"/>
                <w:color w:val="000000"/>
                <w:sz w:val="20"/>
              </w:rPr>
            </w:pPr>
          </w:p>
        </w:tc>
        <w:tc>
          <w:tcPr>
            <w:tcW w:w="1530" w:type="dxa"/>
            <w:shd w:val="clear" w:color="auto" w:fill="auto"/>
          </w:tcPr>
          <w:p w14:paraId="2EF64552" w14:textId="77777777" w:rsidR="00623301" w:rsidRPr="00622711" w:rsidRDefault="00CD3D44" w:rsidP="00537125">
            <w:pPr>
              <w:jc w:val="center"/>
              <w:rPr>
                <w:rFonts w:ascii="Times New Roman"/>
                <w:color w:val="000000"/>
                <w:sz w:val="20"/>
              </w:rPr>
            </w:pPr>
            <w:r>
              <w:rPr>
                <w:rFonts w:ascii="Times New Roman"/>
                <w:color w:val="000000"/>
                <w:sz w:val="20"/>
              </w:rPr>
              <w:t>Amy</w:t>
            </w:r>
          </w:p>
        </w:tc>
        <w:tc>
          <w:tcPr>
            <w:tcW w:w="720" w:type="dxa"/>
            <w:shd w:val="clear" w:color="auto" w:fill="auto"/>
          </w:tcPr>
          <w:p w14:paraId="38CE3980" w14:textId="77777777" w:rsidR="00623301" w:rsidRPr="00622711" w:rsidRDefault="00623301" w:rsidP="00537125">
            <w:pPr>
              <w:jc w:val="center"/>
              <w:rPr>
                <w:rFonts w:ascii="Times New Roman"/>
                <w:color w:val="000000"/>
                <w:sz w:val="20"/>
              </w:rPr>
            </w:pPr>
          </w:p>
        </w:tc>
        <w:tc>
          <w:tcPr>
            <w:tcW w:w="1350" w:type="dxa"/>
            <w:shd w:val="clear" w:color="auto" w:fill="auto"/>
          </w:tcPr>
          <w:p w14:paraId="5A80ADC1" w14:textId="77777777" w:rsidR="00623301" w:rsidRPr="00622711" w:rsidRDefault="00623301" w:rsidP="006673C2">
            <w:pPr>
              <w:jc w:val="center"/>
              <w:rPr>
                <w:rFonts w:ascii="Times New Roman"/>
                <w:color w:val="000000"/>
                <w:sz w:val="20"/>
              </w:rPr>
            </w:pPr>
          </w:p>
        </w:tc>
      </w:tr>
      <w:tr w:rsidR="00623301" w:rsidRPr="00C60C1F" w14:paraId="1EB6CE48" w14:textId="77777777" w:rsidTr="00623301">
        <w:tc>
          <w:tcPr>
            <w:tcW w:w="6660" w:type="dxa"/>
            <w:shd w:val="clear" w:color="auto" w:fill="auto"/>
          </w:tcPr>
          <w:p w14:paraId="4E6567ED" w14:textId="77777777" w:rsidR="00623301" w:rsidRPr="00F239DE" w:rsidRDefault="00623301" w:rsidP="007C2B0D">
            <w:pPr>
              <w:rPr>
                <w:b/>
                <w:sz w:val="20"/>
                <w:szCs w:val="20"/>
                <w:highlight w:val="green"/>
              </w:rPr>
            </w:pPr>
            <w:r w:rsidRPr="00F239DE">
              <w:rPr>
                <w:rFonts w:ascii="TimesNewRomanPSMT" w:hAnsi="TimesNewRomanPSMT" w:cs="TimesNewRomanPSMT"/>
                <w:sz w:val="20"/>
                <w:szCs w:val="20"/>
                <w:highlight w:val="green"/>
              </w:rPr>
              <w:t xml:space="preserve">c. </w:t>
            </w:r>
            <w:r w:rsidRPr="00F239DE">
              <w:rPr>
                <w:rFonts w:ascii="TimesNewRomanPS-ItalicMT" w:hAnsi="TimesNewRomanPS-ItalicMT" w:cs="TimesNewRomanPS-ItalicMT"/>
                <w:i/>
                <w:iCs/>
                <w:sz w:val="20"/>
                <w:szCs w:val="20"/>
                <w:highlight w:val="green"/>
              </w:rPr>
              <w:t xml:space="preserve">Ranking and Selection Process. </w:t>
            </w:r>
            <w:r w:rsidRPr="00F239DE">
              <w:rPr>
                <w:rFonts w:ascii="TimesNewRomanPSMT" w:hAnsi="TimesNewRomanPSMT" w:cs="TimesNewRomanPSMT"/>
                <w:sz w:val="20"/>
                <w:szCs w:val="20"/>
                <w:highlight w:val="green"/>
              </w:rPr>
              <w:t>Up to 3 points</w:t>
            </w:r>
          </w:p>
        </w:tc>
        <w:tc>
          <w:tcPr>
            <w:tcW w:w="630" w:type="dxa"/>
            <w:shd w:val="clear" w:color="auto" w:fill="auto"/>
          </w:tcPr>
          <w:p w14:paraId="2350BC20" w14:textId="77777777" w:rsidR="00623301" w:rsidRPr="00622711" w:rsidRDefault="00623301" w:rsidP="00537125">
            <w:pPr>
              <w:jc w:val="center"/>
              <w:rPr>
                <w:rFonts w:ascii="Times New Roman"/>
                <w:color w:val="000000"/>
                <w:sz w:val="20"/>
              </w:rPr>
            </w:pPr>
          </w:p>
        </w:tc>
        <w:tc>
          <w:tcPr>
            <w:tcW w:w="1530" w:type="dxa"/>
            <w:shd w:val="clear" w:color="auto" w:fill="auto"/>
          </w:tcPr>
          <w:p w14:paraId="6B4DE6F9" w14:textId="77777777" w:rsidR="00623301" w:rsidRPr="00622711" w:rsidRDefault="00CD3D44" w:rsidP="00537125">
            <w:pPr>
              <w:jc w:val="center"/>
              <w:rPr>
                <w:rFonts w:ascii="Times New Roman"/>
                <w:color w:val="000000"/>
                <w:sz w:val="20"/>
              </w:rPr>
            </w:pPr>
            <w:r>
              <w:rPr>
                <w:rFonts w:ascii="Times New Roman"/>
                <w:color w:val="000000"/>
                <w:sz w:val="20"/>
              </w:rPr>
              <w:t>Amy</w:t>
            </w:r>
          </w:p>
        </w:tc>
        <w:tc>
          <w:tcPr>
            <w:tcW w:w="720" w:type="dxa"/>
            <w:shd w:val="clear" w:color="auto" w:fill="auto"/>
          </w:tcPr>
          <w:p w14:paraId="26A2C603" w14:textId="77777777" w:rsidR="00623301" w:rsidRPr="00622711" w:rsidRDefault="00623301" w:rsidP="00537125">
            <w:pPr>
              <w:jc w:val="center"/>
              <w:rPr>
                <w:rFonts w:ascii="Times New Roman"/>
                <w:color w:val="000000"/>
                <w:sz w:val="20"/>
              </w:rPr>
            </w:pPr>
          </w:p>
        </w:tc>
        <w:tc>
          <w:tcPr>
            <w:tcW w:w="1350" w:type="dxa"/>
            <w:shd w:val="clear" w:color="auto" w:fill="auto"/>
          </w:tcPr>
          <w:p w14:paraId="4D9315C4" w14:textId="77777777" w:rsidR="00623301" w:rsidRPr="00622711" w:rsidRDefault="00623301" w:rsidP="006673C2">
            <w:pPr>
              <w:jc w:val="center"/>
              <w:rPr>
                <w:rFonts w:ascii="Times New Roman"/>
                <w:color w:val="000000"/>
                <w:sz w:val="20"/>
              </w:rPr>
            </w:pPr>
          </w:p>
        </w:tc>
      </w:tr>
      <w:tr w:rsidR="00623301" w:rsidRPr="00C60C1F" w14:paraId="4CDA2AD0" w14:textId="77777777" w:rsidTr="00623301">
        <w:tc>
          <w:tcPr>
            <w:tcW w:w="6660" w:type="dxa"/>
            <w:shd w:val="clear" w:color="auto" w:fill="auto"/>
          </w:tcPr>
          <w:p w14:paraId="66145DF8" w14:textId="77777777" w:rsidR="00623301" w:rsidRPr="00F239DE" w:rsidRDefault="00623301" w:rsidP="007C2B0D">
            <w:pPr>
              <w:rPr>
                <w:b/>
                <w:sz w:val="20"/>
                <w:szCs w:val="20"/>
                <w:highlight w:val="green"/>
              </w:rPr>
            </w:pPr>
            <w:r w:rsidRPr="00F239DE">
              <w:rPr>
                <w:rFonts w:ascii="TimesNewRomanPSMT" w:hAnsi="TimesNewRomanPSMT" w:cs="TimesNewRomanPSMT"/>
                <w:sz w:val="20"/>
                <w:szCs w:val="20"/>
                <w:highlight w:val="green"/>
              </w:rPr>
              <w:t xml:space="preserve">d. </w:t>
            </w:r>
            <w:r w:rsidRPr="00F239DE">
              <w:rPr>
                <w:rFonts w:ascii="TimesNewRomanPS-ItalicMT" w:hAnsi="TimesNewRomanPS-ItalicMT" w:cs="TimesNewRomanPS-ItalicMT"/>
                <w:i/>
                <w:iCs/>
                <w:sz w:val="20"/>
                <w:szCs w:val="20"/>
                <w:highlight w:val="green"/>
              </w:rPr>
              <w:t xml:space="preserve">Recipient Performance Monitoring. </w:t>
            </w:r>
            <w:r w:rsidRPr="00F239DE">
              <w:rPr>
                <w:rFonts w:ascii="TimesNewRomanPSMT" w:hAnsi="TimesNewRomanPSMT" w:cs="TimesNewRomanPSMT"/>
                <w:sz w:val="20"/>
                <w:szCs w:val="20"/>
                <w:highlight w:val="green"/>
              </w:rPr>
              <w:t>Up to 4 points</w:t>
            </w:r>
          </w:p>
        </w:tc>
        <w:tc>
          <w:tcPr>
            <w:tcW w:w="630" w:type="dxa"/>
            <w:shd w:val="clear" w:color="auto" w:fill="auto"/>
          </w:tcPr>
          <w:p w14:paraId="3665EDAD" w14:textId="77777777" w:rsidR="00623301" w:rsidRPr="00622711" w:rsidRDefault="00623301" w:rsidP="00537125">
            <w:pPr>
              <w:jc w:val="center"/>
              <w:rPr>
                <w:rFonts w:ascii="Times New Roman"/>
                <w:color w:val="000000"/>
                <w:sz w:val="20"/>
              </w:rPr>
            </w:pPr>
          </w:p>
        </w:tc>
        <w:tc>
          <w:tcPr>
            <w:tcW w:w="1530" w:type="dxa"/>
            <w:shd w:val="clear" w:color="auto" w:fill="auto"/>
          </w:tcPr>
          <w:p w14:paraId="7F5BE5FA" w14:textId="77777777" w:rsidR="00623301" w:rsidRPr="00622711" w:rsidRDefault="00CD3D44" w:rsidP="00537125">
            <w:pPr>
              <w:jc w:val="center"/>
              <w:rPr>
                <w:rFonts w:ascii="Times New Roman"/>
                <w:color w:val="000000"/>
                <w:sz w:val="20"/>
              </w:rPr>
            </w:pPr>
            <w:r>
              <w:rPr>
                <w:rFonts w:ascii="Times New Roman"/>
                <w:color w:val="000000"/>
                <w:sz w:val="20"/>
              </w:rPr>
              <w:t>Amy</w:t>
            </w:r>
          </w:p>
        </w:tc>
        <w:tc>
          <w:tcPr>
            <w:tcW w:w="720" w:type="dxa"/>
            <w:shd w:val="clear" w:color="auto" w:fill="auto"/>
          </w:tcPr>
          <w:p w14:paraId="0392A9C0" w14:textId="77777777" w:rsidR="00623301" w:rsidRPr="00622711" w:rsidRDefault="00623301" w:rsidP="00537125">
            <w:pPr>
              <w:jc w:val="center"/>
              <w:rPr>
                <w:rFonts w:ascii="Times New Roman"/>
                <w:color w:val="000000"/>
                <w:sz w:val="20"/>
              </w:rPr>
            </w:pPr>
          </w:p>
        </w:tc>
        <w:tc>
          <w:tcPr>
            <w:tcW w:w="1350" w:type="dxa"/>
            <w:shd w:val="clear" w:color="auto" w:fill="auto"/>
          </w:tcPr>
          <w:p w14:paraId="2C86DD07" w14:textId="77777777" w:rsidR="00623301" w:rsidRPr="00622711" w:rsidRDefault="00623301" w:rsidP="006673C2">
            <w:pPr>
              <w:jc w:val="center"/>
              <w:rPr>
                <w:rFonts w:ascii="Times New Roman"/>
                <w:color w:val="000000"/>
                <w:sz w:val="20"/>
              </w:rPr>
            </w:pPr>
          </w:p>
        </w:tc>
      </w:tr>
      <w:tr w:rsidR="00212683" w:rsidRPr="00C60C1F" w14:paraId="55997F65" w14:textId="77777777" w:rsidTr="00581270">
        <w:tc>
          <w:tcPr>
            <w:tcW w:w="6660" w:type="dxa"/>
            <w:shd w:val="clear" w:color="auto" w:fill="B2A1C7" w:themeFill="accent4" w:themeFillTint="99"/>
          </w:tcPr>
          <w:p w14:paraId="68A93C29" w14:textId="77777777" w:rsidR="00212683" w:rsidRPr="00CF114D" w:rsidRDefault="00623301" w:rsidP="007C2B0D">
            <w:pPr>
              <w:rPr>
                <w:b/>
                <w:sz w:val="20"/>
                <w:szCs w:val="20"/>
              </w:rPr>
            </w:pPr>
            <w:r w:rsidRPr="00CF114D">
              <w:rPr>
                <w:rFonts w:ascii="TimesNewRomanPS-BoldMT" w:hAnsi="TimesNewRomanPS-BoldMT" w:cs="TimesNewRomanPS-BoldMT"/>
                <w:b/>
                <w:bCs/>
                <w:sz w:val="20"/>
                <w:szCs w:val="20"/>
              </w:rPr>
              <w:t>3. Homeless Management Information System.</w:t>
            </w:r>
            <w:r w:rsidRPr="00CF114D">
              <w:rPr>
                <w:rFonts w:ascii="TimesNewRomanPSMT" w:hAnsi="TimesNewRomanPSMT" w:cs="TimesNewRomanPSMT"/>
                <w:sz w:val="20"/>
                <w:szCs w:val="20"/>
              </w:rPr>
              <w:t xml:space="preserve"> up to 18 points</w:t>
            </w:r>
          </w:p>
        </w:tc>
        <w:tc>
          <w:tcPr>
            <w:tcW w:w="630" w:type="dxa"/>
            <w:shd w:val="clear" w:color="auto" w:fill="B2A1C7" w:themeFill="accent4" w:themeFillTint="99"/>
          </w:tcPr>
          <w:p w14:paraId="3F75DF7D" w14:textId="77777777" w:rsidR="00212683" w:rsidRPr="00622711" w:rsidRDefault="00212683" w:rsidP="00537125">
            <w:pPr>
              <w:jc w:val="center"/>
              <w:rPr>
                <w:rFonts w:ascii="Times New Roman"/>
                <w:color w:val="000000"/>
                <w:sz w:val="20"/>
              </w:rPr>
            </w:pPr>
          </w:p>
        </w:tc>
        <w:tc>
          <w:tcPr>
            <w:tcW w:w="1530" w:type="dxa"/>
            <w:shd w:val="clear" w:color="auto" w:fill="B2A1C7" w:themeFill="accent4" w:themeFillTint="99"/>
          </w:tcPr>
          <w:p w14:paraId="280B9C26" w14:textId="77777777" w:rsidR="00212683" w:rsidRPr="00622711" w:rsidRDefault="00212683" w:rsidP="00537125">
            <w:pPr>
              <w:jc w:val="center"/>
              <w:rPr>
                <w:rFonts w:ascii="Times New Roman"/>
                <w:color w:val="000000"/>
                <w:sz w:val="20"/>
              </w:rPr>
            </w:pPr>
          </w:p>
        </w:tc>
        <w:tc>
          <w:tcPr>
            <w:tcW w:w="720" w:type="dxa"/>
            <w:shd w:val="clear" w:color="auto" w:fill="B2A1C7" w:themeFill="accent4" w:themeFillTint="99"/>
          </w:tcPr>
          <w:p w14:paraId="60721A32" w14:textId="77777777" w:rsidR="00212683" w:rsidRPr="00622711" w:rsidRDefault="00212683" w:rsidP="00537125">
            <w:pPr>
              <w:jc w:val="center"/>
              <w:rPr>
                <w:rFonts w:ascii="Times New Roman"/>
                <w:color w:val="000000"/>
                <w:sz w:val="20"/>
              </w:rPr>
            </w:pPr>
          </w:p>
        </w:tc>
        <w:tc>
          <w:tcPr>
            <w:tcW w:w="1350" w:type="dxa"/>
            <w:shd w:val="clear" w:color="auto" w:fill="B2A1C7" w:themeFill="accent4" w:themeFillTint="99"/>
          </w:tcPr>
          <w:p w14:paraId="1463D971" w14:textId="77777777" w:rsidR="00212683" w:rsidRPr="00622711" w:rsidRDefault="00212683" w:rsidP="006673C2">
            <w:pPr>
              <w:jc w:val="center"/>
              <w:rPr>
                <w:rFonts w:ascii="Times New Roman"/>
                <w:color w:val="000000"/>
                <w:sz w:val="20"/>
              </w:rPr>
            </w:pPr>
          </w:p>
        </w:tc>
      </w:tr>
      <w:tr w:rsidR="00623301" w:rsidRPr="00C60C1F" w14:paraId="682BD50D" w14:textId="77777777" w:rsidTr="00581270">
        <w:tc>
          <w:tcPr>
            <w:tcW w:w="6660" w:type="dxa"/>
          </w:tcPr>
          <w:p w14:paraId="7CB91A22" w14:textId="77777777" w:rsidR="00623301" w:rsidRPr="00CF114D" w:rsidRDefault="00623301" w:rsidP="00623301">
            <w:pPr>
              <w:rPr>
                <w:sz w:val="20"/>
                <w:szCs w:val="20"/>
              </w:rPr>
            </w:pPr>
            <w:r w:rsidRPr="00CF114D">
              <w:rPr>
                <w:rFonts w:ascii="TimesNewRomanPSMT" w:hAnsi="TimesNewRomanPSMT" w:cs="TimesNewRomanPSMT"/>
                <w:sz w:val="20"/>
                <w:szCs w:val="20"/>
              </w:rPr>
              <w:t xml:space="preserve">a. </w:t>
            </w:r>
            <w:r w:rsidRPr="00CF114D">
              <w:rPr>
                <w:rFonts w:ascii="TimesNewRomanPS-ItalicMT" w:hAnsi="TimesNewRomanPS-ItalicMT" w:cs="TimesNewRomanPS-ItalicMT"/>
                <w:i/>
                <w:iCs/>
                <w:sz w:val="20"/>
                <w:szCs w:val="20"/>
              </w:rPr>
              <w:t xml:space="preserve">HMIS Governance. </w:t>
            </w:r>
            <w:r w:rsidRPr="00CF114D">
              <w:rPr>
                <w:rFonts w:ascii="TimesNewRomanPSMT" w:hAnsi="TimesNewRomanPSMT" w:cs="TimesNewRomanPSMT"/>
                <w:sz w:val="20"/>
                <w:szCs w:val="20"/>
              </w:rPr>
              <w:t>Up to 2 points</w:t>
            </w:r>
          </w:p>
        </w:tc>
        <w:tc>
          <w:tcPr>
            <w:tcW w:w="630" w:type="dxa"/>
          </w:tcPr>
          <w:p w14:paraId="642C7F63" w14:textId="77777777" w:rsidR="00623301" w:rsidRPr="00622711" w:rsidRDefault="00623301" w:rsidP="00537125">
            <w:pPr>
              <w:jc w:val="center"/>
              <w:rPr>
                <w:rFonts w:ascii="Times New Roman"/>
                <w:sz w:val="20"/>
              </w:rPr>
            </w:pPr>
          </w:p>
        </w:tc>
        <w:tc>
          <w:tcPr>
            <w:tcW w:w="1530" w:type="dxa"/>
          </w:tcPr>
          <w:p w14:paraId="1A1FEEAE" w14:textId="77777777" w:rsidR="00623301" w:rsidRPr="00622711" w:rsidRDefault="00830BAE" w:rsidP="00537125">
            <w:pPr>
              <w:jc w:val="center"/>
              <w:rPr>
                <w:rFonts w:ascii="Times New Roman"/>
                <w:sz w:val="20"/>
              </w:rPr>
            </w:pPr>
            <w:r>
              <w:rPr>
                <w:rFonts w:ascii="Times New Roman"/>
                <w:sz w:val="20"/>
              </w:rPr>
              <w:t>MH/ Scott</w:t>
            </w:r>
          </w:p>
        </w:tc>
        <w:tc>
          <w:tcPr>
            <w:tcW w:w="720" w:type="dxa"/>
          </w:tcPr>
          <w:p w14:paraId="56144A66" w14:textId="77777777" w:rsidR="00623301" w:rsidRPr="00622711" w:rsidRDefault="00623301" w:rsidP="00537125">
            <w:pPr>
              <w:jc w:val="center"/>
              <w:rPr>
                <w:rFonts w:ascii="Times New Roman"/>
                <w:sz w:val="20"/>
              </w:rPr>
            </w:pPr>
          </w:p>
        </w:tc>
        <w:tc>
          <w:tcPr>
            <w:tcW w:w="1350" w:type="dxa"/>
          </w:tcPr>
          <w:p w14:paraId="637705F1" w14:textId="77777777" w:rsidR="00623301" w:rsidRPr="00622711" w:rsidRDefault="00623301" w:rsidP="006673C2">
            <w:pPr>
              <w:jc w:val="center"/>
              <w:rPr>
                <w:rFonts w:ascii="Times New Roman"/>
                <w:sz w:val="20"/>
              </w:rPr>
            </w:pPr>
          </w:p>
        </w:tc>
      </w:tr>
      <w:tr w:rsidR="00623301" w:rsidRPr="00C60C1F" w14:paraId="7E2A5484" w14:textId="77777777" w:rsidTr="00581270">
        <w:tc>
          <w:tcPr>
            <w:tcW w:w="6660" w:type="dxa"/>
          </w:tcPr>
          <w:p w14:paraId="74994024" w14:textId="77777777" w:rsidR="00623301" w:rsidRPr="00CF114D" w:rsidRDefault="00623301" w:rsidP="00623301">
            <w:pPr>
              <w:rPr>
                <w:sz w:val="20"/>
                <w:szCs w:val="20"/>
              </w:rPr>
            </w:pPr>
            <w:r w:rsidRPr="00CF114D">
              <w:rPr>
                <w:rFonts w:ascii="TimesNewRomanPSMT" w:hAnsi="TimesNewRomanPSMT" w:cs="TimesNewRomanPSMT"/>
                <w:sz w:val="20"/>
                <w:szCs w:val="20"/>
              </w:rPr>
              <w:t xml:space="preserve">b. </w:t>
            </w:r>
            <w:r w:rsidRPr="00CF114D">
              <w:rPr>
                <w:rFonts w:ascii="TimesNewRomanPS-ItalicMT" w:hAnsi="TimesNewRomanPS-ItalicMT" w:cs="TimesNewRomanPS-ItalicMT"/>
                <w:i/>
                <w:iCs/>
                <w:sz w:val="20"/>
                <w:szCs w:val="20"/>
              </w:rPr>
              <w:t xml:space="preserve">HMIS Policy and Procedures. </w:t>
            </w:r>
            <w:r w:rsidRPr="00CF114D">
              <w:rPr>
                <w:rFonts w:ascii="TimesNewRomanPSMT" w:hAnsi="TimesNewRomanPSMT" w:cs="TimesNewRomanPSMT"/>
                <w:sz w:val="20"/>
                <w:szCs w:val="20"/>
              </w:rPr>
              <w:t>3 points</w:t>
            </w:r>
          </w:p>
        </w:tc>
        <w:tc>
          <w:tcPr>
            <w:tcW w:w="630" w:type="dxa"/>
          </w:tcPr>
          <w:p w14:paraId="363E9EEA" w14:textId="77777777" w:rsidR="00623301" w:rsidRPr="00622711" w:rsidRDefault="00623301" w:rsidP="00537125">
            <w:pPr>
              <w:jc w:val="center"/>
              <w:rPr>
                <w:rFonts w:ascii="Times New Roman"/>
                <w:sz w:val="20"/>
              </w:rPr>
            </w:pPr>
          </w:p>
        </w:tc>
        <w:tc>
          <w:tcPr>
            <w:tcW w:w="1530" w:type="dxa"/>
          </w:tcPr>
          <w:p w14:paraId="1B6337F9" w14:textId="77777777" w:rsidR="00623301" w:rsidRPr="00622711" w:rsidRDefault="00830BAE" w:rsidP="00537125">
            <w:pPr>
              <w:jc w:val="center"/>
              <w:rPr>
                <w:rFonts w:ascii="Times New Roman"/>
                <w:sz w:val="20"/>
              </w:rPr>
            </w:pPr>
            <w:r>
              <w:rPr>
                <w:rFonts w:ascii="Times New Roman"/>
                <w:sz w:val="20"/>
              </w:rPr>
              <w:t>MH/ Scott</w:t>
            </w:r>
          </w:p>
        </w:tc>
        <w:tc>
          <w:tcPr>
            <w:tcW w:w="720" w:type="dxa"/>
          </w:tcPr>
          <w:p w14:paraId="48671171" w14:textId="77777777" w:rsidR="00623301" w:rsidRPr="00622711" w:rsidRDefault="00623301" w:rsidP="00537125">
            <w:pPr>
              <w:jc w:val="center"/>
              <w:rPr>
                <w:rFonts w:ascii="Times New Roman"/>
                <w:sz w:val="20"/>
              </w:rPr>
            </w:pPr>
          </w:p>
        </w:tc>
        <w:tc>
          <w:tcPr>
            <w:tcW w:w="1350" w:type="dxa"/>
          </w:tcPr>
          <w:p w14:paraId="3514E88E" w14:textId="77777777" w:rsidR="00623301" w:rsidRPr="00622711" w:rsidRDefault="00623301" w:rsidP="006673C2">
            <w:pPr>
              <w:jc w:val="center"/>
              <w:rPr>
                <w:rFonts w:ascii="Times New Roman"/>
                <w:sz w:val="20"/>
              </w:rPr>
            </w:pPr>
          </w:p>
        </w:tc>
      </w:tr>
      <w:tr w:rsidR="00623301" w:rsidRPr="00C60C1F" w14:paraId="7844502A" w14:textId="77777777" w:rsidTr="00581270">
        <w:tc>
          <w:tcPr>
            <w:tcW w:w="6660" w:type="dxa"/>
          </w:tcPr>
          <w:p w14:paraId="38F9505A" w14:textId="77777777" w:rsidR="00623301" w:rsidRPr="00CF114D" w:rsidRDefault="00623301" w:rsidP="00623301">
            <w:pPr>
              <w:rPr>
                <w:sz w:val="20"/>
                <w:szCs w:val="20"/>
              </w:rPr>
            </w:pPr>
            <w:r w:rsidRPr="00CF114D">
              <w:rPr>
                <w:rFonts w:ascii="TimesNewRomanPSMT" w:hAnsi="TimesNewRomanPSMT" w:cs="TimesNewRomanPSMT"/>
                <w:sz w:val="20"/>
                <w:szCs w:val="20"/>
              </w:rPr>
              <w:t xml:space="preserve">c. </w:t>
            </w:r>
            <w:r w:rsidRPr="00CF114D">
              <w:rPr>
                <w:rFonts w:ascii="TimesNewRomanPS-ItalicMT" w:hAnsi="TimesNewRomanPS-ItalicMT" w:cs="TimesNewRomanPS-ItalicMT"/>
                <w:i/>
                <w:iCs/>
                <w:sz w:val="20"/>
                <w:szCs w:val="20"/>
              </w:rPr>
              <w:t xml:space="preserve">Housing Inventory Count (HIC). </w:t>
            </w:r>
            <w:r w:rsidRPr="00CF114D">
              <w:rPr>
                <w:rFonts w:ascii="TimesNewRomanPSMT" w:hAnsi="TimesNewRomanPSMT" w:cs="TimesNewRomanPSMT"/>
                <w:sz w:val="20"/>
                <w:szCs w:val="20"/>
              </w:rPr>
              <w:t>1 point</w:t>
            </w:r>
          </w:p>
        </w:tc>
        <w:tc>
          <w:tcPr>
            <w:tcW w:w="630" w:type="dxa"/>
          </w:tcPr>
          <w:p w14:paraId="4F8C6509" w14:textId="77777777" w:rsidR="00623301" w:rsidRPr="00622711" w:rsidRDefault="00623301" w:rsidP="00537125">
            <w:pPr>
              <w:jc w:val="center"/>
              <w:rPr>
                <w:rFonts w:ascii="Times New Roman"/>
                <w:sz w:val="20"/>
              </w:rPr>
            </w:pPr>
          </w:p>
        </w:tc>
        <w:tc>
          <w:tcPr>
            <w:tcW w:w="1530" w:type="dxa"/>
          </w:tcPr>
          <w:p w14:paraId="580CEA07" w14:textId="77777777" w:rsidR="00623301" w:rsidRPr="00622711" w:rsidRDefault="00830BAE" w:rsidP="00537125">
            <w:pPr>
              <w:jc w:val="center"/>
              <w:rPr>
                <w:rFonts w:ascii="Times New Roman"/>
                <w:sz w:val="20"/>
              </w:rPr>
            </w:pPr>
            <w:r>
              <w:rPr>
                <w:rFonts w:ascii="Times New Roman"/>
                <w:sz w:val="20"/>
              </w:rPr>
              <w:t>MH/ Scott</w:t>
            </w:r>
          </w:p>
        </w:tc>
        <w:tc>
          <w:tcPr>
            <w:tcW w:w="720" w:type="dxa"/>
          </w:tcPr>
          <w:p w14:paraId="027AEDA2" w14:textId="77777777" w:rsidR="00623301" w:rsidRPr="00622711" w:rsidRDefault="00623301" w:rsidP="00537125">
            <w:pPr>
              <w:jc w:val="center"/>
              <w:rPr>
                <w:rFonts w:ascii="Times New Roman"/>
                <w:sz w:val="20"/>
              </w:rPr>
            </w:pPr>
          </w:p>
        </w:tc>
        <w:tc>
          <w:tcPr>
            <w:tcW w:w="1350" w:type="dxa"/>
          </w:tcPr>
          <w:p w14:paraId="40FB0039" w14:textId="77777777" w:rsidR="00623301" w:rsidRPr="00622711" w:rsidRDefault="00623301" w:rsidP="006673C2">
            <w:pPr>
              <w:jc w:val="center"/>
              <w:rPr>
                <w:rFonts w:ascii="Times New Roman"/>
                <w:sz w:val="20"/>
              </w:rPr>
            </w:pPr>
          </w:p>
        </w:tc>
      </w:tr>
      <w:tr w:rsidR="00623301" w:rsidRPr="00C60C1F" w14:paraId="5F71D3C1" w14:textId="77777777" w:rsidTr="00581270">
        <w:tc>
          <w:tcPr>
            <w:tcW w:w="6660" w:type="dxa"/>
          </w:tcPr>
          <w:p w14:paraId="6FC45AB5" w14:textId="77777777" w:rsidR="00623301" w:rsidRPr="00CF114D" w:rsidRDefault="00623301" w:rsidP="00623301">
            <w:pPr>
              <w:rPr>
                <w:sz w:val="20"/>
                <w:szCs w:val="20"/>
              </w:rPr>
            </w:pPr>
            <w:r w:rsidRPr="00CF114D">
              <w:rPr>
                <w:rFonts w:ascii="TimesNewRomanPSMT" w:hAnsi="TimesNewRomanPSMT" w:cs="TimesNewRomanPSMT"/>
                <w:sz w:val="20"/>
                <w:szCs w:val="20"/>
              </w:rPr>
              <w:t xml:space="preserve">d. </w:t>
            </w:r>
            <w:r w:rsidRPr="00CF114D">
              <w:rPr>
                <w:rFonts w:ascii="TimesNewRomanPS-ItalicMT" w:hAnsi="TimesNewRomanPS-ItalicMT" w:cs="TimesNewRomanPS-ItalicMT"/>
                <w:i/>
                <w:iCs/>
                <w:sz w:val="20"/>
                <w:szCs w:val="20"/>
              </w:rPr>
              <w:t xml:space="preserve">Bed Coverage. </w:t>
            </w:r>
            <w:r w:rsidRPr="00CF114D">
              <w:rPr>
                <w:rFonts w:ascii="TimesNewRomanPSMT" w:hAnsi="TimesNewRomanPSMT" w:cs="TimesNewRomanPSMT"/>
                <w:sz w:val="20"/>
                <w:szCs w:val="20"/>
              </w:rPr>
              <w:t>Up to 4 points</w:t>
            </w:r>
          </w:p>
        </w:tc>
        <w:tc>
          <w:tcPr>
            <w:tcW w:w="630" w:type="dxa"/>
          </w:tcPr>
          <w:p w14:paraId="5AD8D0E8" w14:textId="77777777" w:rsidR="00623301" w:rsidRPr="00622711" w:rsidRDefault="00623301" w:rsidP="00537125">
            <w:pPr>
              <w:jc w:val="center"/>
              <w:rPr>
                <w:rFonts w:ascii="Times New Roman"/>
                <w:sz w:val="20"/>
              </w:rPr>
            </w:pPr>
          </w:p>
        </w:tc>
        <w:tc>
          <w:tcPr>
            <w:tcW w:w="1530" w:type="dxa"/>
          </w:tcPr>
          <w:p w14:paraId="4AD33790" w14:textId="77777777" w:rsidR="00623301" w:rsidRPr="00622711" w:rsidRDefault="00830BAE" w:rsidP="00537125">
            <w:pPr>
              <w:jc w:val="center"/>
              <w:rPr>
                <w:rFonts w:ascii="Times New Roman"/>
                <w:sz w:val="20"/>
              </w:rPr>
            </w:pPr>
            <w:r>
              <w:rPr>
                <w:rFonts w:ascii="Times New Roman"/>
                <w:sz w:val="20"/>
              </w:rPr>
              <w:t>MH/ Scott</w:t>
            </w:r>
          </w:p>
        </w:tc>
        <w:tc>
          <w:tcPr>
            <w:tcW w:w="720" w:type="dxa"/>
          </w:tcPr>
          <w:p w14:paraId="24075CA4" w14:textId="77777777" w:rsidR="00623301" w:rsidRPr="00622711" w:rsidRDefault="00623301" w:rsidP="00537125">
            <w:pPr>
              <w:jc w:val="center"/>
              <w:rPr>
                <w:rFonts w:ascii="Times New Roman"/>
                <w:sz w:val="20"/>
              </w:rPr>
            </w:pPr>
          </w:p>
        </w:tc>
        <w:tc>
          <w:tcPr>
            <w:tcW w:w="1350" w:type="dxa"/>
          </w:tcPr>
          <w:p w14:paraId="4979C470" w14:textId="77777777" w:rsidR="00623301" w:rsidRPr="00622711" w:rsidRDefault="00623301" w:rsidP="006673C2">
            <w:pPr>
              <w:jc w:val="center"/>
              <w:rPr>
                <w:rFonts w:ascii="Times New Roman"/>
                <w:sz w:val="20"/>
              </w:rPr>
            </w:pPr>
          </w:p>
        </w:tc>
      </w:tr>
      <w:tr w:rsidR="00623301" w:rsidRPr="00C60C1F" w14:paraId="3A61E5B7" w14:textId="77777777" w:rsidTr="00581270">
        <w:tc>
          <w:tcPr>
            <w:tcW w:w="6660" w:type="dxa"/>
          </w:tcPr>
          <w:p w14:paraId="2CD56F80" w14:textId="77777777" w:rsidR="00623301" w:rsidRPr="00CF114D" w:rsidRDefault="00623301" w:rsidP="00623301">
            <w:pPr>
              <w:rPr>
                <w:sz w:val="20"/>
                <w:szCs w:val="20"/>
              </w:rPr>
            </w:pPr>
            <w:r w:rsidRPr="00CF114D">
              <w:rPr>
                <w:rFonts w:ascii="TimesNewRomanPSMT" w:hAnsi="TimesNewRomanPSMT" w:cs="TimesNewRomanPSMT"/>
                <w:sz w:val="20"/>
                <w:szCs w:val="20"/>
              </w:rPr>
              <w:t xml:space="preserve">e. </w:t>
            </w:r>
            <w:r w:rsidRPr="00CF114D">
              <w:rPr>
                <w:rFonts w:ascii="TimesNewRomanPS-ItalicMT" w:hAnsi="TimesNewRomanPS-ItalicMT" w:cs="TimesNewRomanPS-ItalicMT"/>
                <w:i/>
                <w:iCs/>
                <w:sz w:val="20"/>
                <w:szCs w:val="20"/>
              </w:rPr>
              <w:t xml:space="preserve">Data Quality. </w:t>
            </w:r>
            <w:r w:rsidRPr="00CF114D">
              <w:rPr>
                <w:rFonts w:ascii="TimesNewRomanPSMT" w:hAnsi="TimesNewRomanPSMT" w:cs="TimesNewRomanPSMT"/>
                <w:sz w:val="20"/>
                <w:szCs w:val="20"/>
              </w:rPr>
              <w:t>Up to 4 points</w:t>
            </w:r>
          </w:p>
        </w:tc>
        <w:tc>
          <w:tcPr>
            <w:tcW w:w="630" w:type="dxa"/>
          </w:tcPr>
          <w:p w14:paraId="132359EB" w14:textId="77777777" w:rsidR="00623301" w:rsidRPr="00622711" w:rsidRDefault="00623301" w:rsidP="00537125">
            <w:pPr>
              <w:jc w:val="center"/>
              <w:rPr>
                <w:rFonts w:ascii="Times New Roman"/>
                <w:sz w:val="20"/>
              </w:rPr>
            </w:pPr>
          </w:p>
        </w:tc>
        <w:tc>
          <w:tcPr>
            <w:tcW w:w="1530" w:type="dxa"/>
          </w:tcPr>
          <w:p w14:paraId="4E3D4CBC" w14:textId="77777777" w:rsidR="00623301" w:rsidRPr="00622711" w:rsidRDefault="00830BAE" w:rsidP="00537125">
            <w:pPr>
              <w:jc w:val="center"/>
              <w:rPr>
                <w:rFonts w:ascii="Times New Roman"/>
                <w:sz w:val="20"/>
              </w:rPr>
            </w:pPr>
            <w:r>
              <w:rPr>
                <w:rFonts w:ascii="Times New Roman"/>
                <w:sz w:val="20"/>
              </w:rPr>
              <w:t>MH/ Scott</w:t>
            </w:r>
          </w:p>
        </w:tc>
        <w:tc>
          <w:tcPr>
            <w:tcW w:w="720" w:type="dxa"/>
          </w:tcPr>
          <w:p w14:paraId="20B5A343" w14:textId="77777777" w:rsidR="00623301" w:rsidRPr="00622711" w:rsidRDefault="00623301" w:rsidP="00537125">
            <w:pPr>
              <w:jc w:val="center"/>
              <w:rPr>
                <w:rFonts w:ascii="Times New Roman"/>
                <w:sz w:val="20"/>
              </w:rPr>
            </w:pPr>
          </w:p>
        </w:tc>
        <w:tc>
          <w:tcPr>
            <w:tcW w:w="1350" w:type="dxa"/>
          </w:tcPr>
          <w:p w14:paraId="73450872" w14:textId="77777777" w:rsidR="00623301" w:rsidRPr="00622711" w:rsidRDefault="00623301" w:rsidP="006673C2">
            <w:pPr>
              <w:jc w:val="center"/>
              <w:rPr>
                <w:rFonts w:ascii="Times New Roman"/>
                <w:sz w:val="20"/>
              </w:rPr>
            </w:pPr>
          </w:p>
        </w:tc>
      </w:tr>
      <w:tr w:rsidR="00623301" w:rsidRPr="00C60C1F" w14:paraId="49AFBB67" w14:textId="77777777" w:rsidTr="003160FA">
        <w:trPr>
          <w:trHeight w:val="278"/>
        </w:trPr>
        <w:tc>
          <w:tcPr>
            <w:tcW w:w="6660" w:type="dxa"/>
          </w:tcPr>
          <w:p w14:paraId="58B67153" w14:textId="77777777" w:rsidR="00623301" w:rsidRPr="00CF114D" w:rsidRDefault="00623301" w:rsidP="00623301">
            <w:pPr>
              <w:rPr>
                <w:sz w:val="20"/>
                <w:szCs w:val="20"/>
              </w:rPr>
            </w:pPr>
            <w:r w:rsidRPr="00CF114D">
              <w:rPr>
                <w:rFonts w:ascii="TimesNewRomanPSMT" w:hAnsi="TimesNewRomanPSMT" w:cs="TimesNewRomanPSMT"/>
                <w:sz w:val="20"/>
                <w:szCs w:val="20"/>
              </w:rPr>
              <w:t xml:space="preserve">f. </w:t>
            </w:r>
            <w:r w:rsidRPr="00CF114D">
              <w:rPr>
                <w:rFonts w:ascii="TimesNewRomanPS-ItalicMT" w:hAnsi="TimesNewRomanPS-ItalicMT" w:cs="TimesNewRomanPS-ItalicMT"/>
                <w:i/>
                <w:iCs/>
                <w:sz w:val="20"/>
                <w:szCs w:val="20"/>
              </w:rPr>
              <w:t xml:space="preserve">Required HMIS Reports. </w:t>
            </w:r>
            <w:r w:rsidRPr="00CF114D">
              <w:rPr>
                <w:rFonts w:ascii="TimesNewRomanPSMT" w:hAnsi="TimesNewRomanPSMT" w:cs="TimesNewRomanPSMT"/>
                <w:sz w:val="20"/>
                <w:szCs w:val="20"/>
              </w:rPr>
              <w:t>Up to 4 points</w:t>
            </w:r>
          </w:p>
        </w:tc>
        <w:tc>
          <w:tcPr>
            <w:tcW w:w="630" w:type="dxa"/>
          </w:tcPr>
          <w:p w14:paraId="6A2660CE" w14:textId="77777777" w:rsidR="00623301" w:rsidRPr="00622711" w:rsidRDefault="00623301" w:rsidP="00537125">
            <w:pPr>
              <w:jc w:val="center"/>
              <w:rPr>
                <w:rFonts w:ascii="Times New Roman"/>
                <w:sz w:val="20"/>
              </w:rPr>
            </w:pPr>
          </w:p>
        </w:tc>
        <w:tc>
          <w:tcPr>
            <w:tcW w:w="1530" w:type="dxa"/>
          </w:tcPr>
          <w:p w14:paraId="5D5CAF01" w14:textId="77777777" w:rsidR="00623301" w:rsidRPr="00622711" w:rsidRDefault="00830BAE" w:rsidP="00537125">
            <w:pPr>
              <w:jc w:val="center"/>
              <w:rPr>
                <w:rFonts w:ascii="Times New Roman"/>
                <w:sz w:val="20"/>
              </w:rPr>
            </w:pPr>
            <w:r>
              <w:rPr>
                <w:rFonts w:ascii="Times New Roman"/>
                <w:sz w:val="20"/>
              </w:rPr>
              <w:t>MH/ Scott</w:t>
            </w:r>
          </w:p>
        </w:tc>
        <w:tc>
          <w:tcPr>
            <w:tcW w:w="720" w:type="dxa"/>
          </w:tcPr>
          <w:p w14:paraId="47B28FFB" w14:textId="77777777" w:rsidR="00623301" w:rsidRPr="00622711" w:rsidRDefault="00623301" w:rsidP="00537125">
            <w:pPr>
              <w:jc w:val="center"/>
              <w:rPr>
                <w:rFonts w:ascii="Times New Roman"/>
                <w:sz w:val="20"/>
              </w:rPr>
            </w:pPr>
          </w:p>
        </w:tc>
        <w:tc>
          <w:tcPr>
            <w:tcW w:w="1350" w:type="dxa"/>
          </w:tcPr>
          <w:p w14:paraId="284A6920" w14:textId="77777777" w:rsidR="00623301" w:rsidRPr="00622711" w:rsidRDefault="00623301" w:rsidP="006673C2">
            <w:pPr>
              <w:jc w:val="center"/>
              <w:rPr>
                <w:rFonts w:ascii="Times New Roman"/>
                <w:sz w:val="20"/>
              </w:rPr>
            </w:pPr>
          </w:p>
        </w:tc>
      </w:tr>
      <w:tr w:rsidR="00212683" w:rsidRPr="00C60C1F" w14:paraId="130C5E91" w14:textId="77777777" w:rsidTr="00581270">
        <w:tc>
          <w:tcPr>
            <w:tcW w:w="6660" w:type="dxa"/>
            <w:shd w:val="clear" w:color="auto" w:fill="B2A1C7" w:themeFill="accent4" w:themeFillTint="99"/>
          </w:tcPr>
          <w:p w14:paraId="75B542E5" w14:textId="77777777" w:rsidR="00212683" w:rsidRPr="00CF114D" w:rsidRDefault="00B606A4" w:rsidP="007C2B0D">
            <w:pPr>
              <w:rPr>
                <w:b/>
                <w:sz w:val="20"/>
                <w:szCs w:val="20"/>
              </w:rPr>
            </w:pPr>
            <w:r w:rsidRPr="00CF114D">
              <w:rPr>
                <w:rFonts w:ascii="TimesNewRomanPSMT" w:hAnsi="TimesNewRomanPSMT" w:cs="TimesNewRomanPSMT"/>
                <w:sz w:val="20"/>
                <w:szCs w:val="20"/>
              </w:rPr>
              <w:t xml:space="preserve">4. </w:t>
            </w:r>
            <w:r w:rsidRPr="00CF114D">
              <w:rPr>
                <w:rFonts w:ascii="TimesNewRomanPS-BoldMT" w:hAnsi="TimesNewRomanPS-BoldMT" w:cs="TimesNewRomanPS-BoldMT"/>
                <w:b/>
                <w:bCs/>
                <w:sz w:val="20"/>
                <w:szCs w:val="20"/>
              </w:rPr>
              <w:t xml:space="preserve">Point-in-Time Count. </w:t>
            </w:r>
            <w:r w:rsidRPr="00CF114D">
              <w:rPr>
                <w:rFonts w:ascii="TimesNewRomanPSMT" w:hAnsi="TimesNewRomanPSMT" w:cs="TimesNewRomanPSMT"/>
                <w:sz w:val="20"/>
                <w:szCs w:val="20"/>
              </w:rPr>
              <w:t>HUD will award up to 9 points</w:t>
            </w:r>
          </w:p>
        </w:tc>
        <w:tc>
          <w:tcPr>
            <w:tcW w:w="630" w:type="dxa"/>
            <w:shd w:val="clear" w:color="auto" w:fill="B2A1C7" w:themeFill="accent4" w:themeFillTint="99"/>
          </w:tcPr>
          <w:p w14:paraId="45D43B49" w14:textId="77777777" w:rsidR="00212683" w:rsidRPr="00537125" w:rsidRDefault="00212683" w:rsidP="00537125">
            <w:pPr>
              <w:jc w:val="center"/>
              <w:rPr>
                <w:rFonts w:ascii="Times New Roman"/>
                <w:color w:val="000000"/>
              </w:rPr>
            </w:pPr>
          </w:p>
        </w:tc>
        <w:tc>
          <w:tcPr>
            <w:tcW w:w="1530" w:type="dxa"/>
            <w:shd w:val="clear" w:color="auto" w:fill="B2A1C7" w:themeFill="accent4" w:themeFillTint="99"/>
          </w:tcPr>
          <w:p w14:paraId="79F32F2A" w14:textId="77777777" w:rsidR="00212683" w:rsidRPr="00537125" w:rsidRDefault="00212683" w:rsidP="00537125">
            <w:pPr>
              <w:jc w:val="center"/>
              <w:rPr>
                <w:rFonts w:ascii="Times New Roman"/>
                <w:color w:val="000000"/>
              </w:rPr>
            </w:pPr>
          </w:p>
        </w:tc>
        <w:tc>
          <w:tcPr>
            <w:tcW w:w="720" w:type="dxa"/>
            <w:shd w:val="clear" w:color="auto" w:fill="B2A1C7" w:themeFill="accent4" w:themeFillTint="99"/>
          </w:tcPr>
          <w:p w14:paraId="016561B0" w14:textId="77777777" w:rsidR="00212683" w:rsidRPr="00537125" w:rsidRDefault="00212683" w:rsidP="00537125">
            <w:pPr>
              <w:jc w:val="center"/>
              <w:rPr>
                <w:rFonts w:ascii="Times New Roman"/>
                <w:color w:val="000000"/>
              </w:rPr>
            </w:pPr>
          </w:p>
        </w:tc>
        <w:tc>
          <w:tcPr>
            <w:tcW w:w="1350" w:type="dxa"/>
            <w:shd w:val="clear" w:color="auto" w:fill="B2A1C7" w:themeFill="accent4" w:themeFillTint="99"/>
          </w:tcPr>
          <w:p w14:paraId="29614121" w14:textId="77777777" w:rsidR="00212683" w:rsidRPr="00C60C1F" w:rsidRDefault="00212683" w:rsidP="006673C2">
            <w:pPr>
              <w:jc w:val="center"/>
              <w:rPr>
                <w:rFonts w:ascii="Times New Roman"/>
                <w:color w:val="000000"/>
              </w:rPr>
            </w:pPr>
          </w:p>
        </w:tc>
      </w:tr>
      <w:tr w:rsidR="00212683" w:rsidRPr="00C60C1F" w14:paraId="4CE9A5D3" w14:textId="77777777" w:rsidTr="00581270">
        <w:tc>
          <w:tcPr>
            <w:tcW w:w="6660" w:type="dxa"/>
          </w:tcPr>
          <w:p w14:paraId="5C949BE8" w14:textId="77777777" w:rsidR="00212683" w:rsidRPr="00CF114D" w:rsidRDefault="00B606A4" w:rsidP="00C60C1F">
            <w:pPr>
              <w:rPr>
                <w:rFonts w:ascii="Times New Roman"/>
                <w:sz w:val="20"/>
                <w:szCs w:val="20"/>
              </w:rPr>
            </w:pPr>
            <w:r w:rsidRPr="00CF114D">
              <w:rPr>
                <w:rFonts w:ascii="TimesNewRomanPSMT" w:hAnsi="TimesNewRomanPSMT" w:cs="TimesNewRomanPSMT"/>
                <w:sz w:val="20"/>
                <w:szCs w:val="20"/>
              </w:rPr>
              <w:t xml:space="preserve">a. </w:t>
            </w:r>
            <w:r w:rsidRPr="00CF114D">
              <w:rPr>
                <w:rFonts w:ascii="TimesNewRomanPS-ItalicMT" w:hAnsi="TimesNewRomanPS-ItalicMT" w:cs="TimesNewRomanPS-ItalicMT"/>
                <w:i/>
                <w:iCs/>
                <w:sz w:val="20"/>
                <w:szCs w:val="20"/>
              </w:rPr>
              <w:t xml:space="preserve">PIT Count and Data Submission. </w:t>
            </w:r>
            <w:r w:rsidRPr="00CF114D">
              <w:rPr>
                <w:rFonts w:ascii="TimesNewRomanPSMT" w:hAnsi="TimesNewRomanPSMT" w:cs="TimesNewRomanPSMT"/>
                <w:sz w:val="20"/>
                <w:szCs w:val="20"/>
              </w:rPr>
              <w:t>Up to 3</w:t>
            </w:r>
          </w:p>
        </w:tc>
        <w:tc>
          <w:tcPr>
            <w:tcW w:w="630" w:type="dxa"/>
          </w:tcPr>
          <w:p w14:paraId="4C2DF074" w14:textId="77777777" w:rsidR="00212683" w:rsidRPr="00622711" w:rsidRDefault="00212683" w:rsidP="00537125">
            <w:pPr>
              <w:jc w:val="center"/>
              <w:rPr>
                <w:rFonts w:ascii="Times New Roman"/>
                <w:sz w:val="20"/>
              </w:rPr>
            </w:pPr>
          </w:p>
        </w:tc>
        <w:tc>
          <w:tcPr>
            <w:tcW w:w="1530" w:type="dxa"/>
          </w:tcPr>
          <w:p w14:paraId="196E7A25" w14:textId="77777777" w:rsidR="00212683" w:rsidRPr="00622711" w:rsidRDefault="00830BAE" w:rsidP="00537125">
            <w:pPr>
              <w:jc w:val="center"/>
              <w:rPr>
                <w:rFonts w:ascii="Times New Roman"/>
                <w:sz w:val="20"/>
              </w:rPr>
            </w:pPr>
            <w:r>
              <w:rPr>
                <w:rFonts w:ascii="Times New Roman"/>
                <w:sz w:val="20"/>
              </w:rPr>
              <w:t>MH/ Scott</w:t>
            </w:r>
          </w:p>
        </w:tc>
        <w:tc>
          <w:tcPr>
            <w:tcW w:w="720" w:type="dxa"/>
          </w:tcPr>
          <w:p w14:paraId="3E50956A" w14:textId="77777777" w:rsidR="00212683" w:rsidRPr="00622711" w:rsidRDefault="00212683" w:rsidP="00537125">
            <w:pPr>
              <w:jc w:val="center"/>
              <w:rPr>
                <w:rFonts w:ascii="Times New Roman"/>
                <w:sz w:val="20"/>
              </w:rPr>
            </w:pPr>
          </w:p>
        </w:tc>
        <w:tc>
          <w:tcPr>
            <w:tcW w:w="1350" w:type="dxa"/>
          </w:tcPr>
          <w:p w14:paraId="3480D149" w14:textId="77777777" w:rsidR="00212683" w:rsidRPr="00622711" w:rsidRDefault="00212683" w:rsidP="006673C2">
            <w:pPr>
              <w:jc w:val="center"/>
              <w:rPr>
                <w:rFonts w:ascii="Times New Roman"/>
                <w:sz w:val="20"/>
              </w:rPr>
            </w:pPr>
          </w:p>
        </w:tc>
      </w:tr>
      <w:tr w:rsidR="00212683" w:rsidRPr="00C60C1F" w14:paraId="25750C17" w14:textId="77777777" w:rsidTr="00830BAE">
        <w:trPr>
          <w:trHeight w:val="260"/>
        </w:trPr>
        <w:tc>
          <w:tcPr>
            <w:tcW w:w="6660" w:type="dxa"/>
          </w:tcPr>
          <w:p w14:paraId="3A8B745B" w14:textId="77777777" w:rsidR="00212683" w:rsidRPr="00CF114D" w:rsidRDefault="00CF114D" w:rsidP="00622711">
            <w:pPr>
              <w:widowControl w:val="0"/>
              <w:autoSpaceDE w:val="0"/>
              <w:autoSpaceDN w:val="0"/>
              <w:adjustRightInd w:val="0"/>
              <w:contextualSpacing/>
              <w:rPr>
                <w:rFonts w:cs="Times New Roman"/>
                <w:bCs/>
                <w:color w:val="000000"/>
                <w:sz w:val="20"/>
                <w:szCs w:val="20"/>
              </w:rPr>
            </w:pPr>
            <w:r>
              <w:rPr>
                <w:rFonts w:ascii="TimesNewRomanPSMT" w:hAnsi="TimesNewRomanPSMT" w:cs="TimesNewRomanPSMT"/>
                <w:sz w:val="20"/>
                <w:szCs w:val="20"/>
              </w:rPr>
              <w:t xml:space="preserve">     </w:t>
            </w:r>
            <w:r w:rsidR="00B606A4" w:rsidRPr="00CF114D">
              <w:rPr>
                <w:rFonts w:ascii="TimesNewRomanPSMT" w:hAnsi="TimesNewRomanPSMT" w:cs="TimesNewRomanPSMT"/>
                <w:sz w:val="20"/>
                <w:szCs w:val="20"/>
              </w:rPr>
              <w:t>(1) conducted a sheltered and unsheltered PIT count</w:t>
            </w:r>
          </w:p>
        </w:tc>
        <w:tc>
          <w:tcPr>
            <w:tcW w:w="630" w:type="dxa"/>
          </w:tcPr>
          <w:p w14:paraId="12FBA5B2" w14:textId="77777777" w:rsidR="00212683" w:rsidRPr="00622711" w:rsidRDefault="00212683" w:rsidP="00537125">
            <w:pPr>
              <w:jc w:val="center"/>
              <w:rPr>
                <w:rFonts w:ascii="Times New Roman"/>
                <w:sz w:val="20"/>
              </w:rPr>
            </w:pPr>
          </w:p>
        </w:tc>
        <w:tc>
          <w:tcPr>
            <w:tcW w:w="1530" w:type="dxa"/>
          </w:tcPr>
          <w:p w14:paraId="5B1060F3" w14:textId="77777777" w:rsidR="00212683" w:rsidRPr="00776D88" w:rsidRDefault="00830BAE" w:rsidP="00537125">
            <w:pPr>
              <w:jc w:val="center"/>
              <w:rPr>
                <w:rFonts w:ascii="Times New Roman"/>
                <w:sz w:val="20"/>
                <w:highlight w:val="yellow"/>
              </w:rPr>
            </w:pPr>
            <w:r>
              <w:rPr>
                <w:rFonts w:ascii="Times New Roman"/>
                <w:sz w:val="20"/>
              </w:rPr>
              <w:t>MH/ Scott</w:t>
            </w:r>
          </w:p>
        </w:tc>
        <w:tc>
          <w:tcPr>
            <w:tcW w:w="720" w:type="dxa"/>
          </w:tcPr>
          <w:p w14:paraId="1E642877" w14:textId="77777777" w:rsidR="00212683" w:rsidRPr="00622711" w:rsidRDefault="00212683" w:rsidP="00537125">
            <w:pPr>
              <w:jc w:val="center"/>
              <w:rPr>
                <w:rFonts w:ascii="Times New Roman"/>
                <w:sz w:val="20"/>
              </w:rPr>
            </w:pPr>
          </w:p>
        </w:tc>
        <w:tc>
          <w:tcPr>
            <w:tcW w:w="1350" w:type="dxa"/>
          </w:tcPr>
          <w:p w14:paraId="03711D13" w14:textId="77777777" w:rsidR="00212683" w:rsidRPr="00622711" w:rsidRDefault="00212683" w:rsidP="006673C2">
            <w:pPr>
              <w:jc w:val="center"/>
              <w:rPr>
                <w:rFonts w:ascii="Times New Roman"/>
                <w:sz w:val="20"/>
              </w:rPr>
            </w:pPr>
          </w:p>
        </w:tc>
      </w:tr>
      <w:tr w:rsidR="00212683" w:rsidRPr="00C60C1F" w14:paraId="3EF8DB91" w14:textId="77777777" w:rsidTr="00581270">
        <w:tc>
          <w:tcPr>
            <w:tcW w:w="6660" w:type="dxa"/>
          </w:tcPr>
          <w:p w14:paraId="165D8BF3" w14:textId="77777777" w:rsidR="00212683" w:rsidRPr="00CF114D" w:rsidRDefault="00CF114D" w:rsidP="00C60C1F">
            <w:pPr>
              <w:rPr>
                <w:rFonts w:ascii="Times New Roman"/>
                <w:sz w:val="20"/>
                <w:szCs w:val="20"/>
              </w:rPr>
            </w:pPr>
            <w:r>
              <w:rPr>
                <w:rFonts w:ascii="TimesNewRomanPSMT" w:hAnsi="TimesNewRomanPSMT" w:cs="TimesNewRomanPSMT"/>
                <w:sz w:val="20"/>
                <w:szCs w:val="20"/>
              </w:rPr>
              <w:t xml:space="preserve">     </w:t>
            </w:r>
            <w:r w:rsidR="00B606A4" w:rsidRPr="00CF114D">
              <w:rPr>
                <w:rFonts w:ascii="TimesNewRomanPSMT" w:hAnsi="TimesNewRomanPSMT" w:cs="TimesNewRomanPSMT"/>
                <w:sz w:val="20"/>
                <w:szCs w:val="20"/>
              </w:rPr>
              <w:t>(2) submitted the PIT data for 2016 in HDX by May 2, 2016</w:t>
            </w:r>
          </w:p>
        </w:tc>
        <w:tc>
          <w:tcPr>
            <w:tcW w:w="630" w:type="dxa"/>
          </w:tcPr>
          <w:p w14:paraId="1DCEA898" w14:textId="77777777" w:rsidR="00212683" w:rsidRPr="00622711" w:rsidRDefault="00212683" w:rsidP="009A78ED">
            <w:pPr>
              <w:jc w:val="center"/>
              <w:rPr>
                <w:rFonts w:ascii="Times New Roman"/>
                <w:sz w:val="20"/>
              </w:rPr>
            </w:pPr>
          </w:p>
        </w:tc>
        <w:tc>
          <w:tcPr>
            <w:tcW w:w="1530" w:type="dxa"/>
          </w:tcPr>
          <w:p w14:paraId="1C26955B" w14:textId="77777777" w:rsidR="00212683" w:rsidRPr="00622711" w:rsidRDefault="00830BAE" w:rsidP="00537125">
            <w:pPr>
              <w:jc w:val="center"/>
              <w:rPr>
                <w:rFonts w:ascii="Times New Roman"/>
                <w:sz w:val="20"/>
              </w:rPr>
            </w:pPr>
            <w:r>
              <w:rPr>
                <w:rFonts w:ascii="Times New Roman"/>
                <w:sz w:val="20"/>
              </w:rPr>
              <w:t>MH/ Scott</w:t>
            </w:r>
          </w:p>
        </w:tc>
        <w:tc>
          <w:tcPr>
            <w:tcW w:w="720" w:type="dxa"/>
          </w:tcPr>
          <w:p w14:paraId="0F3C7823" w14:textId="77777777" w:rsidR="00212683" w:rsidRPr="00622711" w:rsidRDefault="00212683" w:rsidP="00537125">
            <w:pPr>
              <w:jc w:val="center"/>
              <w:rPr>
                <w:rFonts w:ascii="Times New Roman"/>
                <w:sz w:val="20"/>
              </w:rPr>
            </w:pPr>
          </w:p>
        </w:tc>
        <w:tc>
          <w:tcPr>
            <w:tcW w:w="1350" w:type="dxa"/>
          </w:tcPr>
          <w:p w14:paraId="1DD99369" w14:textId="77777777" w:rsidR="00212683" w:rsidRPr="00622711" w:rsidRDefault="00212683" w:rsidP="006673C2">
            <w:pPr>
              <w:jc w:val="center"/>
              <w:rPr>
                <w:rFonts w:ascii="Times New Roman"/>
                <w:sz w:val="20"/>
              </w:rPr>
            </w:pPr>
          </w:p>
        </w:tc>
      </w:tr>
      <w:tr w:rsidR="00212683" w:rsidRPr="00C60C1F" w14:paraId="73C2082B" w14:textId="77777777" w:rsidTr="00581270">
        <w:tc>
          <w:tcPr>
            <w:tcW w:w="6660" w:type="dxa"/>
          </w:tcPr>
          <w:p w14:paraId="6C0C1AE5" w14:textId="77777777" w:rsidR="00212683" w:rsidRPr="00CF114D" w:rsidRDefault="00B606A4" w:rsidP="00C60C1F">
            <w:pPr>
              <w:rPr>
                <w:rFonts w:ascii="Times New Roman"/>
                <w:sz w:val="20"/>
                <w:szCs w:val="20"/>
              </w:rPr>
            </w:pPr>
            <w:r w:rsidRPr="00CF114D">
              <w:rPr>
                <w:rFonts w:ascii="TimesNewRomanPSMT" w:hAnsi="TimesNewRomanPSMT" w:cs="TimesNewRomanPSMT"/>
                <w:sz w:val="20"/>
                <w:szCs w:val="20"/>
              </w:rPr>
              <w:t xml:space="preserve">b. </w:t>
            </w:r>
            <w:r w:rsidRPr="00CF114D">
              <w:rPr>
                <w:rFonts w:ascii="TimesNewRomanPS-ItalicMT" w:hAnsi="TimesNewRomanPS-ItalicMT" w:cs="TimesNewRomanPS-ItalicMT"/>
                <w:i/>
                <w:iCs/>
                <w:sz w:val="20"/>
                <w:szCs w:val="20"/>
              </w:rPr>
              <w:t xml:space="preserve">Methodology for Sheltered PIT Count. </w:t>
            </w:r>
            <w:r w:rsidRPr="00CF114D">
              <w:rPr>
                <w:rFonts w:ascii="TimesNewRomanPSMT" w:hAnsi="TimesNewRomanPSMT" w:cs="TimesNewRomanPSMT"/>
                <w:sz w:val="20"/>
                <w:szCs w:val="20"/>
              </w:rPr>
              <w:t>Up to 2 points</w:t>
            </w:r>
          </w:p>
        </w:tc>
        <w:tc>
          <w:tcPr>
            <w:tcW w:w="630" w:type="dxa"/>
          </w:tcPr>
          <w:p w14:paraId="2770BF80" w14:textId="77777777" w:rsidR="00212683" w:rsidRPr="00622711" w:rsidRDefault="00212683" w:rsidP="009A78ED">
            <w:pPr>
              <w:jc w:val="center"/>
              <w:rPr>
                <w:rFonts w:ascii="Times New Roman"/>
                <w:sz w:val="20"/>
              </w:rPr>
            </w:pPr>
          </w:p>
        </w:tc>
        <w:tc>
          <w:tcPr>
            <w:tcW w:w="1530" w:type="dxa"/>
          </w:tcPr>
          <w:p w14:paraId="2B6F522A" w14:textId="77777777" w:rsidR="00212683" w:rsidRPr="00622711" w:rsidRDefault="00830BAE" w:rsidP="00537125">
            <w:pPr>
              <w:jc w:val="center"/>
              <w:rPr>
                <w:rFonts w:ascii="Times New Roman"/>
                <w:sz w:val="20"/>
              </w:rPr>
            </w:pPr>
            <w:r>
              <w:rPr>
                <w:rFonts w:ascii="Times New Roman"/>
                <w:sz w:val="20"/>
              </w:rPr>
              <w:t>MH/ Scott</w:t>
            </w:r>
          </w:p>
        </w:tc>
        <w:tc>
          <w:tcPr>
            <w:tcW w:w="720" w:type="dxa"/>
          </w:tcPr>
          <w:p w14:paraId="68AFE5BB" w14:textId="77777777" w:rsidR="00212683" w:rsidRPr="00622711" w:rsidRDefault="00212683" w:rsidP="00537125">
            <w:pPr>
              <w:jc w:val="center"/>
              <w:rPr>
                <w:rFonts w:ascii="Times New Roman"/>
                <w:sz w:val="20"/>
              </w:rPr>
            </w:pPr>
          </w:p>
        </w:tc>
        <w:tc>
          <w:tcPr>
            <w:tcW w:w="1350" w:type="dxa"/>
          </w:tcPr>
          <w:p w14:paraId="3F0D13EC" w14:textId="77777777" w:rsidR="00212683" w:rsidRPr="00622711" w:rsidRDefault="00212683" w:rsidP="006673C2">
            <w:pPr>
              <w:jc w:val="center"/>
              <w:rPr>
                <w:rFonts w:ascii="Times New Roman"/>
                <w:sz w:val="20"/>
              </w:rPr>
            </w:pPr>
          </w:p>
        </w:tc>
      </w:tr>
      <w:tr w:rsidR="00212683" w:rsidRPr="00C60C1F" w14:paraId="6FF877C0" w14:textId="77777777" w:rsidTr="00581270">
        <w:tc>
          <w:tcPr>
            <w:tcW w:w="6660" w:type="dxa"/>
          </w:tcPr>
          <w:p w14:paraId="75C045BD" w14:textId="77777777" w:rsidR="00212683" w:rsidRPr="00CF114D" w:rsidRDefault="00B606A4" w:rsidP="00963181">
            <w:pPr>
              <w:widowControl w:val="0"/>
              <w:overflowPunct w:val="0"/>
              <w:autoSpaceDE w:val="0"/>
              <w:autoSpaceDN w:val="0"/>
              <w:adjustRightInd w:val="0"/>
              <w:ind w:right="320"/>
              <w:contextualSpacing/>
              <w:rPr>
                <w:rFonts w:cs="Times New Roman"/>
                <w:bCs/>
                <w:color w:val="000000"/>
                <w:sz w:val="20"/>
                <w:szCs w:val="20"/>
              </w:rPr>
            </w:pPr>
            <w:r w:rsidRPr="00CF114D">
              <w:rPr>
                <w:rFonts w:ascii="TimesNewRomanPSMT" w:hAnsi="TimesNewRomanPSMT" w:cs="TimesNewRomanPSMT"/>
                <w:sz w:val="20"/>
                <w:szCs w:val="20"/>
              </w:rPr>
              <w:t xml:space="preserve">c. </w:t>
            </w:r>
            <w:r w:rsidRPr="00CF114D">
              <w:rPr>
                <w:rFonts w:ascii="TimesNewRomanPS-ItalicMT" w:hAnsi="TimesNewRomanPS-ItalicMT" w:cs="TimesNewRomanPS-ItalicMT"/>
                <w:i/>
                <w:iCs/>
                <w:sz w:val="20"/>
                <w:szCs w:val="20"/>
              </w:rPr>
              <w:t xml:space="preserve">Methodology for Unsheltered PIT Count. </w:t>
            </w:r>
            <w:r w:rsidRPr="00CF114D">
              <w:rPr>
                <w:rFonts w:ascii="TimesNewRomanPSMT" w:hAnsi="TimesNewRomanPSMT" w:cs="TimesNewRomanPSMT"/>
                <w:sz w:val="20"/>
                <w:szCs w:val="20"/>
              </w:rPr>
              <w:t>Up to 2 points</w:t>
            </w:r>
          </w:p>
        </w:tc>
        <w:tc>
          <w:tcPr>
            <w:tcW w:w="630" w:type="dxa"/>
          </w:tcPr>
          <w:p w14:paraId="6C40680E" w14:textId="77777777" w:rsidR="00212683" w:rsidRPr="00622711" w:rsidRDefault="00212683" w:rsidP="009A78ED">
            <w:pPr>
              <w:jc w:val="center"/>
              <w:rPr>
                <w:rFonts w:ascii="Times New Roman"/>
                <w:sz w:val="20"/>
              </w:rPr>
            </w:pPr>
          </w:p>
        </w:tc>
        <w:tc>
          <w:tcPr>
            <w:tcW w:w="1530" w:type="dxa"/>
          </w:tcPr>
          <w:p w14:paraId="7DE4DFC9" w14:textId="77777777" w:rsidR="00212683" w:rsidRPr="00622711" w:rsidRDefault="00830BAE" w:rsidP="00537125">
            <w:pPr>
              <w:jc w:val="center"/>
              <w:rPr>
                <w:rFonts w:ascii="Times New Roman"/>
                <w:sz w:val="20"/>
              </w:rPr>
            </w:pPr>
            <w:r>
              <w:rPr>
                <w:rFonts w:ascii="Times New Roman"/>
                <w:sz w:val="20"/>
              </w:rPr>
              <w:t>MH/ Scott</w:t>
            </w:r>
          </w:p>
        </w:tc>
        <w:tc>
          <w:tcPr>
            <w:tcW w:w="720" w:type="dxa"/>
          </w:tcPr>
          <w:p w14:paraId="506A2837" w14:textId="77777777" w:rsidR="00212683" w:rsidRPr="00622711" w:rsidRDefault="00212683" w:rsidP="00537125">
            <w:pPr>
              <w:jc w:val="center"/>
              <w:rPr>
                <w:rFonts w:ascii="Times New Roman"/>
                <w:sz w:val="20"/>
              </w:rPr>
            </w:pPr>
          </w:p>
        </w:tc>
        <w:tc>
          <w:tcPr>
            <w:tcW w:w="1350" w:type="dxa"/>
          </w:tcPr>
          <w:p w14:paraId="1395AC1C" w14:textId="77777777" w:rsidR="00212683" w:rsidRPr="00622711" w:rsidRDefault="00212683" w:rsidP="006673C2">
            <w:pPr>
              <w:jc w:val="center"/>
              <w:rPr>
                <w:rFonts w:ascii="Times New Roman"/>
                <w:sz w:val="20"/>
              </w:rPr>
            </w:pPr>
          </w:p>
        </w:tc>
      </w:tr>
      <w:tr w:rsidR="00212683" w:rsidRPr="00C60C1F" w14:paraId="4933B664" w14:textId="77777777" w:rsidTr="00581270">
        <w:tc>
          <w:tcPr>
            <w:tcW w:w="6660" w:type="dxa"/>
          </w:tcPr>
          <w:p w14:paraId="2A16E8D4" w14:textId="77777777" w:rsidR="00212683" w:rsidRPr="00CF114D" w:rsidRDefault="00B606A4" w:rsidP="00622711">
            <w:pPr>
              <w:widowControl w:val="0"/>
              <w:overflowPunct w:val="0"/>
              <w:autoSpaceDE w:val="0"/>
              <w:autoSpaceDN w:val="0"/>
              <w:adjustRightInd w:val="0"/>
              <w:ind w:right="300"/>
              <w:contextualSpacing/>
              <w:rPr>
                <w:rFonts w:cs="Times New Roman"/>
                <w:sz w:val="20"/>
                <w:szCs w:val="20"/>
              </w:rPr>
            </w:pPr>
            <w:r w:rsidRPr="00CF114D">
              <w:rPr>
                <w:rFonts w:ascii="TimesNewRomanPSMT" w:hAnsi="TimesNewRomanPSMT" w:cs="TimesNewRomanPSMT"/>
                <w:sz w:val="20"/>
                <w:szCs w:val="20"/>
              </w:rPr>
              <w:t xml:space="preserve">d. </w:t>
            </w:r>
            <w:r w:rsidRPr="00CF114D">
              <w:rPr>
                <w:rFonts w:ascii="TimesNewRomanPS-ItalicMT" w:hAnsi="TimesNewRomanPS-ItalicMT" w:cs="TimesNewRomanPS-ItalicMT"/>
                <w:i/>
                <w:iCs/>
                <w:sz w:val="20"/>
                <w:szCs w:val="20"/>
              </w:rPr>
              <w:t xml:space="preserve">Conducting an Effective Youth Count in 2016. </w:t>
            </w:r>
            <w:r w:rsidRPr="00CF114D">
              <w:rPr>
                <w:rFonts w:ascii="TimesNewRomanPSMT" w:hAnsi="TimesNewRomanPSMT" w:cs="TimesNewRomanPSMT"/>
                <w:sz w:val="20"/>
                <w:szCs w:val="20"/>
              </w:rPr>
              <w:t>Up to 2</w:t>
            </w:r>
          </w:p>
        </w:tc>
        <w:tc>
          <w:tcPr>
            <w:tcW w:w="630" w:type="dxa"/>
          </w:tcPr>
          <w:p w14:paraId="4BEECC08" w14:textId="77777777" w:rsidR="00212683" w:rsidRPr="00622711" w:rsidRDefault="00212683" w:rsidP="009A78ED">
            <w:pPr>
              <w:jc w:val="center"/>
              <w:rPr>
                <w:rFonts w:ascii="Times New Roman"/>
                <w:sz w:val="20"/>
              </w:rPr>
            </w:pPr>
          </w:p>
        </w:tc>
        <w:tc>
          <w:tcPr>
            <w:tcW w:w="1530" w:type="dxa"/>
          </w:tcPr>
          <w:p w14:paraId="23161F88" w14:textId="77777777" w:rsidR="00212683" w:rsidRPr="00622711" w:rsidRDefault="00830BAE" w:rsidP="00537125">
            <w:pPr>
              <w:jc w:val="center"/>
              <w:rPr>
                <w:rFonts w:ascii="Times New Roman"/>
                <w:sz w:val="20"/>
              </w:rPr>
            </w:pPr>
            <w:r>
              <w:rPr>
                <w:rFonts w:ascii="Times New Roman"/>
                <w:sz w:val="20"/>
              </w:rPr>
              <w:t>MH/ Scott</w:t>
            </w:r>
          </w:p>
        </w:tc>
        <w:tc>
          <w:tcPr>
            <w:tcW w:w="720" w:type="dxa"/>
          </w:tcPr>
          <w:p w14:paraId="22C468F8" w14:textId="77777777" w:rsidR="00212683" w:rsidRPr="00622711" w:rsidRDefault="00212683" w:rsidP="00537125">
            <w:pPr>
              <w:jc w:val="center"/>
              <w:rPr>
                <w:rFonts w:ascii="Times New Roman"/>
                <w:sz w:val="20"/>
              </w:rPr>
            </w:pPr>
          </w:p>
        </w:tc>
        <w:tc>
          <w:tcPr>
            <w:tcW w:w="1350" w:type="dxa"/>
          </w:tcPr>
          <w:p w14:paraId="63FBAD49" w14:textId="77777777" w:rsidR="00212683" w:rsidRPr="00622711" w:rsidRDefault="00212683" w:rsidP="006673C2">
            <w:pPr>
              <w:jc w:val="center"/>
              <w:rPr>
                <w:rFonts w:ascii="Times New Roman"/>
                <w:sz w:val="20"/>
              </w:rPr>
            </w:pPr>
          </w:p>
        </w:tc>
      </w:tr>
      <w:tr w:rsidR="00212683" w:rsidRPr="00C60C1F" w14:paraId="13FB6377" w14:textId="77777777" w:rsidTr="00581270">
        <w:tc>
          <w:tcPr>
            <w:tcW w:w="6660" w:type="dxa"/>
            <w:shd w:val="clear" w:color="auto" w:fill="B2A1C7" w:themeFill="accent4" w:themeFillTint="99"/>
          </w:tcPr>
          <w:p w14:paraId="5FE8F13E" w14:textId="77777777" w:rsidR="00212683" w:rsidRPr="00CF114D" w:rsidRDefault="00B606A4" w:rsidP="00C60C1F">
            <w:pPr>
              <w:rPr>
                <w:rFonts w:ascii="Times New Roman"/>
                <w:color w:val="000000"/>
                <w:sz w:val="20"/>
                <w:szCs w:val="20"/>
              </w:rPr>
            </w:pPr>
            <w:r w:rsidRPr="00CF114D">
              <w:rPr>
                <w:rFonts w:ascii="TimesNewRomanPS-BoldMT" w:hAnsi="TimesNewRomanPS-BoldMT" w:cs="TimesNewRomanPS-BoldMT"/>
                <w:b/>
                <w:bCs/>
                <w:sz w:val="20"/>
                <w:szCs w:val="20"/>
              </w:rPr>
              <w:t xml:space="preserve">5. System Performance. </w:t>
            </w:r>
            <w:r w:rsidRPr="00CF114D">
              <w:rPr>
                <w:rFonts w:ascii="TimesNewRomanPSMT" w:hAnsi="TimesNewRomanPSMT" w:cs="TimesNewRomanPSMT"/>
                <w:sz w:val="20"/>
                <w:szCs w:val="20"/>
              </w:rPr>
              <w:t>HUD will award up to 40 points</w:t>
            </w:r>
          </w:p>
        </w:tc>
        <w:tc>
          <w:tcPr>
            <w:tcW w:w="630" w:type="dxa"/>
            <w:shd w:val="clear" w:color="auto" w:fill="B2A1C7" w:themeFill="accent4" w:themeFillTint="99"/>
          </w:tcPr>
          <w:p w14:paraId="067BCC57" w14:textId="77777777" w:rsidR="00212683" w:rsidRPr="00622711" w:rsidRDefault="00212683" w:rsidP="00537125">
            <w:pPr>
              <w:jc w:val="center"/>
              <w:rPr>
                <w:rFonts w:ascii="Times New Roman"/>
                <w:color w:val="000000"/>
                <w:sz w:val="20"/>
              </w:rPr>
            </w:pPr>
          </w:p>
        </w:tc>
        <w:tc>
          <w:tcPr>
            <w:tcW w:w="1530" w:type="dxa"/>
            <w:shd w:val="clear" w:color="auto" w:fill="B2A1C7" w:themeFill="accent4" w:themeFillTint="99"/>
          </w:tcPr>
          <w:p w14:paraId="565ADFE6" w14:textId="77777777" w:rsidR="00212683" w:rsidRPr="00622711" w:rsidRDefault="00212683" w:rsidP="00537125">
            <w:pPr>
              <w:jc w:val="center"/>
              <w:rPr>
                <w:rFonts w:ascii="Times New Roman"/>
                <w:color w:val="000000"/>
                <w:sz w:val="20"/>
              </w:rPr>
            </w:pPr>
          </w:p>
        </w:tc>
        <w:tc>
          <w:tcPr>
            <w:tcW w:w="720" w:type="dxa"/>
            <w:shd w:val="clear" w:color="auto" w:fill="B2A1C7" w:themeFill="accent4" w:themeFillTint="99"/>
          </w:tcPr>
          <w:p w14:paraId="774C6087" w14:textId="77777777" w:rsidR="00212683" w:rsidRPr="00622711" w:rsidRDefault="00212683" w:rsidP="00537125">
            <w:pPr>
              <w:jc w:val="center"/>
              <w:rPr>
                <w:rFonts w:ascii="Times New Roman"/>
                <w:color w:val="000000"/>
                <w:sz w:val="20"/>
              </w:rPr>
            </w:pPr>
          </w:p>
        </w:tc>
        <w:tc>
          <w:tcPr>
            <w:tcW w:w="1350" w:type="dxa"/>
            <w:shd w:val="clear" w:color="auto" w:fill="B2A1C7" w:themeFill="accent4" w:themeFillTint="99"/>
          </w:tcPr>
          <w:p w14:paraId="4820236A" w14:textId="77777777" w:rsidR="00212683" w:rsidRPr="00622711" w:rsidRDefault="00212683" w:rsidP="006673C2">
            <w:pPr>
              <w:jc w:val="center"/>
              <w:rPr>
                <w:rFonts w:ascii="Times New Roman"/>
                <w:color w:val="000000"/>
                <w:sz w:val="20"/>
              </w:rPr>
            </w:pPr>
          </w:p>
        </w:tc>
      </w:tr>
      <w:tr w:rsidR="00212683" w:rsidRPr="00C60C1F" w14:paraId="59277B31" w14:textId="77777777" w:rsidTr="00581270">
        <w:tc>
          <w:tcPr>
            <w:tcW w:w="6660" w:type="dxa"/>
          </w:tcPr>
          <w:p w14:paraId="2E238A6C" w14:textId="77777777" w:rsidR="00212683" w:rsidRPr="00CF114D" w:rsidRDefault="00B606A4" w:rsidP="00622711">
            <w:pPr>
              <w:tabs>
                <w:tab w:val="left" w:pos="9360"/>
              </w:tabs>
              <w:contextualSpacing/>
              <w:jc w:val="both"/>
              <w:rPr>
                <w:sz w:val="20"/>
                <w:szCs w:val="20"/>
              </w:rPr>
            </w:pPr>
            <w:r w:rsidRPr="00CF114D">
              <w:rPr>
                <w:rFonts w:ascii="TimesNewRomanPSMT" w:hAnsi="TimesNewRomanPSMT" w:cs="TimesNewRomanPSMT"/>
                <w:sz w:val="20"/>
                <w:szCs w:val="20"/>
              </w:rPr>
              <w:t xml:space="preserve">a. </w:t>
            </w:r>
            <w:r w:rsidRPr="00CF114D">
              <w:rPr>
                <w:rFonts w:ascii="TimesNewRomanPS-ItalicMT" w:hAnsi="TimesNewRomanPS-ItalicMT" w:cs="TimesNewRomanPS-ItalicMT"/>
                <w:i/>
                <w:iCs/>
                <w:sz w:val="20"/>
                <w:szCs w:val="20"/>
              </w:rPr>
              <w:t xml:space="preserve">Reducing the Number of Homeless Individuals and Families. </w:t>
            </w:r>
            <w:r w:rsidRPr="00CF114D">
              <w:rPr>
                <w:rFonts w:ascii="TimesNewRomanPSMT" w:hAnsi="TimesNewRomanPSMT" w:cs="TimesNewRomanPSMT"/>
                <w:sz w:val="20"/>
                <w:szCs w:val="20"/>
              </w:rPr>
              <w:t>Up to 7 points</w:t>
            </w:r>
          </w:p>
        </w:tc>
        <w:tc>
          <w:tcPr>
            <w:tcW w:w="630" w:type="dxa"/>
          </w:tcPr>
          <w:p w14:paraId="248221EF" w14:textId="77777777" w:rsidR="00212683" w:rsidRPr="00622711" w:rsidRDefault="00212683" w:rsidP="009A78ED">
            <w:pPr>
              <w:jc w:val="center"/>
              <w:rPr>
                <w:rFonts w:ascii="Times New Roman"/>
                <w:sz w:val="20"/>
              </w:rPr>
            </w:pPr>
          </w:p>
        </w:tc>
        <w:tc>
          <w:tcPr>
            <w:tcW w:w="1530" w:type="dxa"/>
          </w:tcPr>
          <w:p w14:paraId="2F5C995A" w14:textId="77777777" w:rsidR="00212683" w:rsidRPr="00776D88" w:rsidRDefault="00830BAE" w:rsidP="00537125">
            <w:pPr>
              <w:jc w:val="center"/>
              <w:rPr>
                <w:rFonts w:ascii="Times New Roman"/>
                <w:sz w:val="20"/>
                <w:highlight w:val="yellow"/>
              </w:rPr>
            </w:pPr>
            <w:r>
              <w:rPr>
                <w:rFonts w:ascii="Times New Roman"/>
                <w:sz w:val="20"/>
              </w:rPr>
              <w:t>MH/ Scott</w:t>
            </w:r>
          </w:p>
        </w:tc>
        <w:tc>
          <w:tcPr>
            <w:tcW w:w="720" w:type="dxa"/>
          </w:tcPr>
          <w:p w14:paraId="0E73EF22" w14:textId="77777777" w:rsidR="00212683" w:rsidRPr="00622711" w:rsidRDefault="00212683" w:rsidP="00537125">
            <w:pPr>
              <w:jc w:val="center"/>
              <w:rPr>
                <w:rFonts w:ascii="Times New Roman"/>
                <w:sz w:val="20"/>
              </w:rPr>
            </w:pPr>
          </w:p>
        </w:tc>
        <w:tc>
          <w:tcPr>
            <w:tcW w:w="1350" w:type="dxa"/>
          </w:tcPr>
          <w:p w14:paraId="10A9B23D" w14:textId="77777777" w:rsidR="00212683" w:rsidRPr="00622711" w:rsidRDefault="00212683" w:rsidP="006673C2">
            <w:pPr>
              <w:jc w:val="center"/>
              <w:rPr>
                <w:rFonts w:ascii="Times New Roman"/>
                <w:sz w:val="20"/>
              </w:rPr>
            </w:pPr>
          </w:p>
        </w:tc>
      </w:tr>
      <w:tr w:rsidR="00212683" w:rsidRPr="00C60C1F" w14:paraId="106B0565" w14:textId="77777777" w:rsidTr="00581270">
        <w:tc>
          <w:tcPr>
            <w:tcW w:w="6660" w:type="dxa"/>
          </w:tcPr>
          <w:p w14:paraId="5AADE702" w14:textId="77777777" w:rsidR="00CF114D" w:rsidRPr="00CF114D" w:rsidRDefault="00B606A4" w:rsidP="00CF114D">
            <w:pPr>
              <w:pStyle w:val="ListParagraph"/>
              <w:numPr>
                <w:ilvl w:val="0"/>
                <w:numId w:val="19"/>
              </w:numPr>
              <w:autoSpaceDE w:val="0"/>
              <w:autoSpaceDN w:val="0"/>
              <w:adjustRightInd w:val="0"/>
              <w:rPr>
                <w:rFonts w:ascii="TimesNewRomanPSMT" w:hAnsi="TimesNewRomanPSMT" w:cs="TimesNewRomanPSMT"/>
                <w:sz w:val="20"/>
                <w:szCs w:val="20"/>
              </w:rPr>
            </w:pPr>
            <w:r w:rsidRPr="00CF114D">
              <w:rPr>
                <w:rFonts w:ascii="TimesNewRomanPSMT" w:hAnsi="TimesNewRomanPSMT" w:cs="TimesNewRomanPSMT"/>
                <w:sz w:val="20"/>
                <w:szCs w:val="20"/>
              </w:rPr>
              <w:t xml:space="preserve">up to 2 of  7 points for a decrease in the number of sheltered </w:t>
            </w:r>
            <w:r w:rsidR="00CF114D" w:rsidRPr="00CF114D">
              <w:rPr>
                <w:rFonts w:ascii="TimesNewRomanPSMT" w:hAnsi="TimesNewRomanPSMT" w:cs="TimesNewRomanPSMT"/>
                <w:sz w:val="20"/>
                <w:szCs w:val="20"/>
              </w:rPr>
              <w:t xml:space="preserve"> </w:t>
            </w:r>
          </w:p>
          <w:p w14:paraId="5C841A41" w14:textId="77777777" w:rsidR="00212683" w:rsidRPr="00CF114D" w:rsidRDefault="00B606A4" w:rsidP="00CF114D">
            <w:pPr>
              <w:pStyle w:val="ListParagraph"/>
              <w:autoSpaceDE w:val="0"/>
              <w:autoSpaceDN w:val="0"/>
              <w:adjustRightInd w:val="0"/>
              <w:ind w:left="645"/>
              <w:rPr>
                <w:rFonts w:ascii="TimesNewRomanPSMT" w:hAnsi="TimesNewRomanPSMT" w:cs="TimesNewRomanPSMT"/>
                <w:sz w:val="20"/>
                <w:szCs w:val="20"/>
              </w:rPr>
            </w:pPr>
            <w:r w:rsidRPr="00CF114D">
              <w:rPr>
                <w:rFonts w:ascii="TimesNewRomanPSMT" w:hAnsi="TimesNewRomanPSMT" w:cs="TimesNewRomanPSMT"/>
                <w:sz w:val="20"/>
                <w:szCs w:val="20"/>
              </w:rPr>
              <w:t>homeless individuals and families in the 2016 PIT</w:t>
            </w:r>
          </w:p>
        </w:tc>
        <w:tc>
          <w:tcPr>
            <w:tcW w:w="630" w:type="dxa"/>
          </w:tcPr>
          <w:p w14:paraId="52F02A58" w14:textId="77777777" w:rsidR="00212683" w:rsidRPr="00622711" w:rsidRDefault="00212683" w:rsidP="009A78ED">
            <w:pPr>
              <w:jc w:val="center"/>
              <w:rPr>
                <w:rFonts w:ascii="Times New Roman"/>
                <w:sz w:val="20"/>
              </w:rPr>
            </w:pPr>
          </w:p>
        </w:tc>
        <w:tc>
          <w:tcPr>
            <w:tcW w:w="1530" w:type="dxa"/>
          </w:tcPr>
          <w:p w14:paraId="62956009" w14:textId="77777777" w:rsidR="00212683" w:rsidRPr="00776D88" w:rsidRDefault="00830BAE" w:rsidP="00537125">
            <w:pPr>
              <w:jc w:val="center"/>
              <w:rPr>
                <w:rFonts w:ascii="Times New Roman"/>
                <w:sz w:val="20"/>
                <w:highlight w:val="yellow"/>
              </w:rPr>
            </w:pPr>
            <w:r>
              <w:rPr>
                <w:rFonts w:ascii="Times New Roman"/>
                <w:sz w:val="20"/>
              </w:rPr>
              <w:t>MH/ Scott</w:t>
            </w:r>
          </w:p>
        </w:tc>
        <w:tc>
          <w:tcPr>
            <w:tcW w:w="720" w:type="dxa"/>
          </w:tcPr>
          <w:p w14:paraId="179232F5" w14:textId="77777777" w:rsidR="00212683" w:rsidRPr="00622711" w:rsidRDefault="00212683" w:rsidP="00537125">
            <w:pPr>
              <w:jc w:val="center"/>
              <w:rPr>
                <w:rFonts w:ascii="Times New Roman"/>
                <w:sz w:val="20"/>
              </w:rPr>
            </w:pPr>
          </w:p>
        </w:tc>
        <w:tc>
          <w:tcPr>
            <w:tcW w:w="1350" w:type="dxa"/>
          </w:tcPr>
          <w:p w14:paraId="5EB993E1" w14:textId="77777777" w:rsidR="00212683" w:rsidRPr="00622711" w:rsidRDefault="00212683" w:rsidP="006673C2">
            <w:pPr>
              <w:jc w:val="center"/>
              <w:rPr>
                <w:rFonts w:ascii="Times New Roman"/>
                <w:sz w:val="20"/>
              </w:rPr>
            </w:pPr>
          </w:p>
        </w:tc>
      </w:tr>
      <w:tr w:rsidR="00212683" w:rsidRPr="00C60C1F" w14:paraId="56E4BF65" w14:textId="77777777" w:rsidTr="00581270">
        <w:tc>
          <w:tcPr>
            <w:tcW w:w="6660" w:type="dxa"/>
          </w:tcPr>
          <w:p w14:paraId="74BAA152" w14:textId="77777777" w:rsidR="00CF114D" w:rsidRPr="00CF114D" w:rsidRDefault="00B606A4" w:rsidP="00CF114D">
            <w:pPr>
              <w:pStyle w:val="ListParagraph"/>
              <w:numPr>
                <w:ilvl w:val="0"/>
                <w:numId w:val="19"/>
              </w:numPr>
              <w:autoSpaceDE w:val="0"/>
              <w:autoSpaceDN w:val="0"/>
              <w:adjustRightInd w:val="0"/>
              <w:rPr>
                <w:rFonts w:ascii="TimesNewRomanPSMT" w:hAnsi="TimesNewRomanPSMT" w:cs="TimesNewRomanPSMT"/>
                <w:sz w:val="20"/>
                <w:szCs w:val="20"/>
              </w:rPr>
            </w:pPr>
            <w:r w:rsidRPr="00CF114D">
              <w:rPr>
                <w:rFonts w:ascii="TimesNewRomanPSMT" w:hAnsi="TimesNewRomanPSMT" w:cs="TimesNewRomanPSMT"/>
                <w:sz w:val="20"/>
                <w:szCs w:val="20"/>
              </w:rPr>
              <w:t xml:space="preserve">up to 5 of  7 points for a decrease in the number of unsheltered </w:t>
            </w:r>
          </w:p>
          <w:p w14:paraId="36CBB862" w14:textId="77777777" w:rsidR="00212683" w:rsidRPr="00CF114D" w:rsidRDefault="00B606A4" w:rsidP="00CF114D">
            <w:pPr>
              <w:pStyle w:val="ListParagraph"/>
              <w:autoSpaceDE w:val="0"/>
              <w:autoSpaceDN w:val="0"/>
              <w:adjustRightInd w:val="0"/>
              <w:ind w:left="645"/>
              <w:rPr>
                <w:rFonts w:ascii="TimesNewRomanPSMT" w:hAnsi="TimesNewRomanPSMT" w:cs="TimesNewRomanPSMT"/>
                <w:sz w:val="20"/>
                <w:szCs w:val="20"/>
              </w:rPr>
            </w:pPr>
            <w:r w:rsidRPr="00CF114D">
              <w:rPr>
                <w:rFonts w:ascii="TimesNewRomanPSMT" w:hAnsi="TimesNewRomanPSMT" w:cs="TimesNewRomanPSMT"/>
                <w:sz w:val="20"/>
                <w:szCs w:val="20"/>
              </w:rPr>
              <w:t>homeless individuals and families in 2016 PIT</w:t>
            </w:r>
          </w:p>
        </w:tc>
        <w:tc>
          <w:tcPr>
            <w:tcW w:w="630" w:type="dxa"/>
          </w:tcPr>
          <w:p w14:paraId="406D492A" w14:textId="77777777" w:rsidR="00212683" w:rsidRPr="00622711" w:rsidRDefault="00212683" w:rsidP="009A78ED">
            <w:pPr>
              <w:jc w:val="center"/>
              <w:rPr>
                <w:rFonts w:ascii="Times New Roman"/>
                <w:sz w:val="20"/>
              </w:rPr>
            </w:pPr>
          </w:p>
        </w:tc>
        <w:tc>
          <w:tcPr>
            <w:tcW w:w="1530" w:type="dxa"/>
          </w:tcPr>
          <w:p w14:paraId="3B9CA7A0" w14:textId="77777777" w:rsidR="00212683" w:rsidRPr="00776D88" w:rsidRDefault="00830BAE" w:rsidP="00537125">
            <w:pPr>
              <w:jc w:val="center"/>
              <w:rPr>
                <w:rFonts w:ascii="Times New Roman"/>
                <w:sz w:val="20"/>
                <w:highlight w:val="yellow"/>
              </w:rPr>
            </w:pPr>
            <w:r>
              <w:rPr>
                <w:rFonts w:ascii="Times New Roman"/>
                <w:sz w:val="20"/>
              </w:rPr>
              <w:t>MH/ Scott</w:t>
            </w:r>
          </w:p>
        </w:tc>
        <w:tc>
          <w:tcPr>
            <w:tcW w:w="720" w:type="dxa"/>
          </w:tcPr>
          <w:p w14:paraId="03D77707" w14:textId="77777777" w:rsidR="00212683" w:rsidRPr="00622711" w:rsidRDefault="00212683" w:rsidP="00537125">
            <w:pPr>
              <w:jc w:val="center"/>
              <w:rPr>
                <w:rFonts w:ascii="Times New Roman"/>
                <w:sz w:val="20"/>
              </w:rPr>
            </w:pPr>
          </w:p>
        </w:tc>
        <w:tc>
          <w:tcPr>
            <w:tcW w:w="1350" w:type="dxa"/>
          </w:tcPr>
          <w:p w14:paraId="7BFDE91C" w14:textId="77777777" w:rsidR="00212683" w:rsidRPr="00622711" w:rsidRDefault="00212683" w:rsidP="006673C2">
            <w:pPr>
              <w:jc w:val="center"/>
              <w:rPr>
                <w:rFonts w:ascii="Times New Roman"/>
                <w:sz w:val="20"/>
              </w:rPr>
            </w:pPr>
          </w:p>
        </w:tc>
      </w:tr>
      <w:tr w:rsidR="00212683" w:rsidRPr="00C60C1F" w14:paraId="6A80222C" w14:textId="77777777" w:rsidTr="00581270">
        <w:tc>
          <w:tcPr>
            <w:tcW w:w="6660" w:type="dxa"/>
          </w:tcPr>
          <w:p w14:paraId="208F7902" w14:textId="77777777" w:rsidR="00212683" w:rsidRPr="00CF114D" w:rsidRDefault="00B606A4" w:rsidP="00622711">
            <w:pPr>
              <w:tabs>
                <w:tab w:val="left" w:pos="9360"/>
              </w:tabs>
              <w:contextualSpacing/>
              <w:jc w:val="both"/>
              <w:rPr>
                <w:sz w:val="20"/>
                <w:szCs w:val="20"/>
              </w:rPr>
            </w:pPr>
            <w:r w:rsidRPr="00CF114D">
              <w:rPr>
                <w:rFonts w:ascii="TimesNewRomanPSMT" w:hAnsi="TimesNewRomanPSMT" w:cs="TimesNewRomanPSMT"/>
                <w:sz w:val="20"/>
                <w:szCs w:val="20"/>
              </w:rPr>
              <w:t xml:space="preserve">b. </w:t>
            </w:r>
            <w:r w:rsidRPr="00CF114D">
              <w:rPr>
                <w:rFonts w:ascii="TimesNewRomanPS-ItalicMT" w:hAnsi="TimesNewRomanPS-ItalicMT" w:cs="TimesNewRomanPS-ItalicMT"/>
                <w:i/>
                <w:iCs/>
                <w:sz w:val="20"/>
                <w:szCs w:val="20"/>
              </w:rPr>
              <w:t xml:space="preserve">Reduction in the Number of First Time Homeless. </w:t>
            </w:r>
            <w:r w:rsidRPr="00CF114D">
              <w:rPr>
                <w:rFonts w:ascii="TimesNewRomanPSMT" w:hAnsi="TimesNewRomanPSMT" w:cs="TimesNewRomanPSMT"/>
                <w:sz w:val="20"/>
                <w:szCs w:val="20"/>
              </w:rPr>
              <w:t>Up to 2 points</w:t>
            </w:r>
          </w:p>
        </w:tc>
        <w:tc>
          <w:tcPr>
            <w:tcW w:w="630" w:type="dxa"/>
          </w:tcPr>
          <w:p w14:paraId="3B220A1C" w14:textId="77777777" w:rsidR="00212683" w:rsidRPr="00622711" w:rsidRDefault="00212683" w:rsidP="009A78ED">
            <w:pPr>
              <w:jc w:val="center"/>
              <w:rPr>
                <w:rFonts w:ascii="Times New Roman"/>
                <w:sz w:val="20"/>
              </w:rPr>
            </w:pPr>
          </w:p>
        </w:tc>
        <w:tc>
          <w:tcPr>
            <w:tcW w:w="1530" w:type="dxa"/>
          </w:tcPr>
          <w:p w14:paraId="23EA997C" w14:textId="77777777" w:rsidR="00212683" w:rsidRPr="00776D88" w:rsidRDefault="00830BAE" w:rsidP="00537125">
            <w:pPr>
              <w:jc w:val="center"/>
              <w:rPr>
                <w:rFonts w:ascii="Times New Roman"/>
                <w:sz w:val="20"/>
                <w:highlight w:val="yellow"/>
              </w:rPr>
            </w:pPr>
            <w:r>
              <w:rPr>
                <w:rFonts w:ascii="Times New Roman"/>
                <w:sz w:val="20"/>
              </w:rPr>
              <w:t>MH/ Scott</w:t>
            </w:r>
          </w:p>
        </w:tc>
        <w:tc>
          <w:tcPr>
            <w:tcW w:w="720" w:type="dxa"/>
          </w:tcPr>
          <w:p w14:paraId="7A0EDE32" w14:textId="77777777" w:rsidR="00212683" w:rsidRPr="00622711" w:rsidRDefault="00212683" w:rsidP="00537125">
            <w:pPr>
              <w:jc w:val="center"/>
              <w:rPr>
                <w:rFonts w:ascii="Times New Roman"/>
                <w:sz w:val="20"/>
              </w:rPr>
            </w:pPr>
          </w:p>
        </w:tc>
        <w:tc>
          <w:tcPr>
            <w:tcW w:w="1350" w:type="dxa"/>
          </w:tcPr>
          <w:p w14:paraId="276F0E30" w14:textId="77777777" w:rsidR="00212683" w:rsidRPr="00622711" w:rsidRDefault="00212683" w:rsidP="006673C2">
            <w:pPr>
              <w:jc w:val="center"/>
              <w:rPr>
                <w:rFonts w:ascii="Times New Roman"/>
                <w:sz w:val="20"/>
              </w:rPr>
            </w:pPr>
          </w:p>
        </w:tc>
      </w:tr>
      <w:tr w:rsidR="00212683" w:rsidRPr="00C60C1F" w14:paraId="503ED9E7" w14:textId="77777777" w:rsidTr="00581270">
        <w:tc>
          <w:tcPr>
            <w:tcW w:w="6660" w:type="dxa"/>
          </w:tcPr>
          <w:p w14:paraId="50ABF0EA" w14:textId="77777777" w:rsidR="00212683" w:rsidRPr="00CF114D" w:rsidRDefault="00B606A4" w:rsidP="003779EA">
            <w:pPr>
              <w:rPr>
                <w:rFonts w:ascii="Times New Roman"/>
                <w:color w:val="000000"/>
                <w:sz w:val="20"/>
                <w:szCs w:val="20"/>
              </w:rPr>
            </w:pPr>
            <w:r w:rsidRPr="00CF114D">
              <w:rPr>
                <w:rFonts w:ascii="TimesNewRomanPSMT" w:hAnsi="TimesNewRomanPSMT" w:cs="TimesNewRomanPSMT"/>
                <w:sz w:val="20"/>
                <w:szCs w:val="20"/>
              </w:rPr>
              <w:t xml:space="preserve">c. </w:t>
            </w:r>
            <w:r w:rsidRPr="00CF114D">
              <w:rPr>
                <w:rFonts w:ascii="TimesNewRomanPS-ItalicMT" w:hAnsi="TimesNewRomanPS-ItalicMT" w:cs="TimesNewRomanPS-ItalicMT"/>
                <w:i/>
                <w:iCs/>
                <w:sz w:val="20"/>
                <w:szCs w:val="20"/>
              </w:rPr>
              <w:t xml:space="preserve">Length of Time Homeless. </w:t>
            </w:r>
            <w:r w:rsidRPr="00CF114D">
              <w:rPr>
                <w:rFonts w:ascii="TimesNewRomanPSMT" w:hAnsi="TimesNewRomanPSMT" w:cs="TimesNewRomanPSMT"/>
                <w:sz w:val="20"/>
                <w:szCs w:val="20"/>
              </w:rPr>
              <w:t>Up to 7 points</w:t>
            </w:r>
          </w:p>
        </w:tc>
        <w:tc>
          <w:tcPr>
            <w:tcW w:w="630" w:type="dxa"/>
          </w:tcPr>
          <w:p w14:paraId="6F460F4E" w14:textId="77777777" w:rsidR="00212683" w:rsidRPr="00622711" w:rsidRDefault="00212683" w:rsidP="009A78ED">
            <w:pPr>
              <w:jc w:val="center"/>
              <w:rPr>
                <w:rFonts w:ascii="Times New Roman"/>
                <w:sz w:val="20"/>
              </w:rPr>
            </w:pPr>
          </w:p>
        </w:tc>
        <w:tc>
          <w:tcPr>
            <w:tcW w:w="1530" w:type="dxa"/>
          </w:tcPr>
          <w:p w14:paraId="6DC61C6B" w14:textId="77777777" w:rsidR="00212683" w:rsidRPr="00776D88" w:rsidRDefault="00830BAE" w:rsidP="00537125">
            <w:pPr>
              <w:jc w:val="center"/>
              <w:rPr>
                <w:rFonts w:ascii="Times New Roman"/>
                <w:sz w:val="20"/>
                <w:highlight w:val="yellow"/>
              </w:rPr>
            </w:pPr>
            <w:r>
              <w:rPr>
                <w:rFonts w:ascii="Times New Roman"/>
                <w:sz w:val="20"/>
              </w:rPr>
              <w:t>MH/ Scott</w:t>
            </w:r>
          </w:p>
        </w:tc>
        <w:tc>
          <w:tcPr>
            <w:tcW w:w="720" w:type="dxa"/>
          </w:tcPr>
          <w:p w14:paraId="643D2317" w14:textId="77777777" w:rsidR="00212683" w:rsidRPr="00622711" w:rsidRDefault="00212683" w:rsidP="00537125">
            <w:pPr>
              <w:jc w:val="center"/>
              <w:rPr>
                <w:rFonts w:ascii="Times New Roman"/>
                <w:sz w:val="20"/>
              </w:rPr>
            </w:pPr>
          </w:p>
        </w:tc>
        <w:tc>
          <w:tcPr>
            <w:tcW w:w="1350" w:type="dxa"/>
          </w:tcPr>
          <w:p w14:paraId="18780AB1" w14:textId="77777777" w:rsidR="00212683" w:rsidRPr="00622711" w:rsidRDefault="00212683" w:rsidP="006673C2">
            <w:pPr>
              <w:jc w:val="center"/>
              <w:rPr>
                <w:rFonts w:ascii="Times New Roman"/>
                <w:sz w:val="20"/>
              </w:rPr>
            </w:pPr>
          </w:p>
        </w:tc>
      </w:tr>
      <w:tr w:rsidR="00212683" w:rsidRPr="00C60C1F" w14:paraId="51E46AD1" w14:textId="77777777" w:rsidTr="00581270">
        <w:tc>
          <w:tcPr>
            <w:tcW w:w="6660" w:type="dxa"/>
          </w:tcPr>
          <w:p w14:paraId="163A5633" w14:textId="77777777" w:rsidR="00212683" w:rsidRPr="00CF114D" w:rsidRDefault="00B606A4" w:rsidP="003779EA">
            <w:pPr>
              <w:tabs>
                <w:tab w:val="left" w:pos="9360"/>
              </w:tabs>
              <w:contextualSpacing/>
              <w:rPr>
                <w:sz w:val="20"/>
                <w:szCs w:val="20"/>
              </w:rPr>
            </w:pPr>
            <w:r w:rsidRPr="00CF114D">
              <w:rPr>
                <w:rFonts w:ascii="TimesNewRomanPSMT" w:hAnsi="TimesNewRomanPSMT" w:cs="TimesNewRomanPSMT"/>
                <w:sz w:val="20"/>
                <w:szCs w:val="20"/>
              </w:rPr>
              <w:t xml:space="preserve">d. </w:t>
            </w:r>
            <w:r w:rsidRPr="00CF114D">
              <w:rPr>
                <w:rFonts w:ascii="TimesNewRomanPS-ItalicMT" w:hAnsi="TimesNewRomanPS-ItalicMT" w:cs="TimesNewRomanPS-ItalicMT"/>
                <w:i/>
                <w:iCs/>
                <w:sz w:val="20"/>
                <w:szCs w:val="20"/>
              </w:rPr>
              <w:t xml:space="preserve">Successful Permanent Housing Placement or Retention. </w:t>
            </w:r>
            <w:r w:rsidRPr="00CF114D">
              <w:rPr>
                <w:rFonts w:ascii="TimesNewRomanPSMT" w:hAnsi="TimesNewRomanPSMT" w:cs="TimesNewRomanPSMT"/>
                <w:sz w:val="20"/>
                <w:szCs w:val="20"/>
              </w:rPr>
              <w:t>Up to 7 points</w:t>
            </w:r>
          </w:p>
        </w:tc>
        <w:tc>
          <w:tcPr>
            <w:tcW w:w="630" w:type="dxa"/>
          </w:tcPr>
          <w:p w14:paraId="5709AFDA" w14:textId="77777777" w:rsidR="00212683" w:rsidRPr="00622711" w:rsidRDefault="00212683" w:rsidP="009A78ED">
            <w:pPr>
              <w:jc w:val="center"/>
              <w:rPr>
                <w:rFonts w:ascii="Times New Roman"/>
                <w:sz w:val="20"/>
              </w:rPr>
            </w:pPr>
          </w:p>
        </w:tc>
        <w:tc>
          <w:tcPr>
            <w:tcW w:w="1530" w:type="dxa"/>
          </w:tcPr>
          <w:p w14:paraId="29AC296B" w14:textId="77777777" w:rsidR="00212683" w:rsidRPr="00776D88" w:rsidRDefault="00830BAE" w:rsidP="00537125">
            <w:pPr>
              <w:jc w:val="center"/>
              <w:rPr>
                <w:rFonts w:ascii="Times New Roman"/>
                <w:sz w:val="20"/>
                <w:highlight w:val="yellow"/>
              </w:rPr>
            </w:pPr>
            <w:r>
              <w:rPr>
                <w:rFonts w:ascii="Times New Roman"/>
                <w:sz w:val="20"/>
              </w:rPr>
              <w:t>MH/ Scott</w:t>
            </w:r>
          </w:p>
        </w:tc>
        <w:tc>
          <w:tcPr>
            <w:tcW w:w="720" w:type="dxa"/>
          </w:tcPr>
          <w:p w14:paraId="4CBDC4F0" w14:textId="77777777" w:rsidR="00212683" w:rsidRPr="00622711" w:rsidRDefault="00212683" w:rsidP="00537125">
            <w:pPr>
              <w:jc w:val="center"/>
              <w:rPr>
                <w:rFonts w:ascii="Times New Roman"/>
                <w:sz w:val="20"/>
              </w:rPr>
            </w:pPr>
          </w:p>
        </w:tc>
        <w:tc>
          <w:tcPr>
            <w:tcW w:w="1350" w:type="dxa"/>
          </w:tcPr>
          <w:p w14:paraId="27390793" w14:textId="77777777" w:rsidR="00212683" w:rsidRPr="00622711" w:rsidRDefault="00212683" w:rsidP="006673C2">
            <w:pPr>
              <w:jc w:val="center"/>
              <w:rPr>
                <w:rFonts w:ascii="Times New Roman"/>
                <w:sz w:val="20"/>
              </w:rPr>
            </w:pPr>
          </w:p>
        </w:tc>
      </w:tr>
      <w:tr w:rsidR="00212683" w:rsidRPr="00C60C1F" w14:paraId="44BFB75E" w14:textId="77777777" w:rsidTr="00581270">
        <w:tc>
          <w:tcPr>
            <w:tcW w:w="6660" w:type="dxa"/>
          </w:tcPr>
          <w:p w14:paraId="42E2BAA7" w14:textId="77777777" w:rsidR="00212683" w:rsidRPr="00CF114D" w:rsidRDefault="00B606A4" w:rsidP="003779EA">
            <w:pPr>
              <w:tabs>
                <w:tab w:val="left" w:pos="9360"/>
              </w:tabs>
              <w:contextualSpacing/>
              <w:rPr>
                <w:sz w:val="20"/>
                <w:szCs w:val="20"/>
              </w:rPr>
            </w:pPr>
            <w:r w:rsidRPr="00CF114D">
              <w:rPr>
                <w:rFonts w:ascii="TimesNewRomanPSMT" w:hAnsi="TimesNewRomanPSMT" w:cs="TimesNewRomanPSMT"/>
                <w:sz w:val="20"/>
                <w:szCs w:val="20"/>
              </w:rPr>
              <w:t xml:space="preserve">e. </w:t>
            </w:r>
            <w:r w:rsidRPr="00CF114D">
              <w:rPr>
                <w:rFonts w:ascii="TimesNewRomanPS-ItalicMT" w:hAnsi="TimesNewRomanPS-ItalicMT" w:cs="TimesNewRomanPS-ItalicMT"/>
                <w:i/>
                <w:iCs/>
                <w:sz w:val="20"/>
                <w:szCs w:val="20"/>
              </w:rPr>
              <w:t>Returns to Homelessness</w:t>
            </w:r>
            <w:r w:rsidRPr="00CF114D">
              <w:rPr>
                <w:rFonts w:ascii="TimesNewRomanPSMT" w:hAnsi="TimesNewRomanPSMT" w:cs="TimesNewRomanPSMT"/>
                <w:sz w:val="20"/>
                <w:szCs w:val="20"/>
              </w:rPr>
              <w:t>. Up to 4 points</w:t>
            </w:r>
          </w:p>
        </w:tc>
        <w:tc>
          <w:tcPr>
            <w:tcW w:w="630" w:type="dxa"/>
          </w:tcPr>
          <w:p w14:paraId="0F1F73A2" w14:textId="77777777" w:rsidR="00212683" w:rsidRPr="00622711" w:rsidRDefault="00212683" w:rsidP="009A78ED">
            <w:pPr>
              <w:jc w:val="center"/>
              <w:rPr>
                <w:rFonts w:ascii="Times New Roman"/>
                <w:sz w:val="20"/>
              </w:rPr>
            </w:pPr>
          </w:p>
        </w:tc>
        <w:tc>
          <w:tcPr>
            <w:tcW w:w="1530" w:type="dxa"/>
          </w:tcPr>
          <w:p w14:paraId="44A3D4F5" w14:textId="77777777" w:rsidR="00212683" w:rsidRPr="00776D88" w:rsidRDefault="00830BAE" w:rsidP="00537125">
            <w:pPr>
              <w:jc w:val="center"/>
              <w:rPr>
                <w:rFonts w:ascii="Times New Roman"/>
                <w:sz w:val="20"/>
                <w:highlight w:val="yellow"/>
              </w:rPr>
            </w:pPr>
            <w:r>
              <w:rPr>
                <w:rFonts w:ascii="Times New Roman"/>
                <w:sz w:val="20"/>
              </w:rPr>
              <w:t>MH/ Scott</w:t>
            </w:r>
          </w:p>
        </w:tc>
        <w:tc>
          <w:tcPr>
            <w:tcW w:w="720" w:type="dxa"/>
          </w:tcPr>
          <w:p w14:paraId="5C2DA34D" w14:textId="77777777" w:rsidR="00212683" w:rsidRPr="00622711" w:rsidRDefault="00212683" w:rsidP="00537125">
            <w:pPr>
              <w:jc w:val="center"/>
              <w:rPr>
                <w:rFonts w:ascii="Times New Roman"/>
                <w:sz w:val="20"/>
              </w:rPr>
            </w:pPr>
          </w:p>
        </w:tc>
        <w:tc>
          <w:tcPr>
            <w:tcW w:w="1350" w:type="dxa"/>
          </w:tcPr>
          <w:p w14:paraId="5DDEBB2E" w14:textId="77777777" w:rsidR="00212683" w:rsidRPr="00622711" w:rsidRDefault="00212683" w:rsidP="006673C2">
            <w:pPr>
              <w:jc w:val="center"/>
              <w:rPr>
                <w:rFonts w:ascii="Times New Roman"/>
                <w:sz w:val="20"/>
              </w:rPr>
            </w:pPr>
          </w:p>
        </w:tc>
      </w:tr>
      <w:tr w:rsidR="00212683" w:rsidRPr="00C60C1F" w14:paraId="0FB3494B" w14:textId="77777777" w:rsidTr="00581270">
        <w:tc>
          <w:tcPr>
            <w:tcW w:w="6660" w:type="dxa"/>
          </w:tcPr>
          <w:p w14:paraId="09EA5AF5" w14:textId="77777777" w:rsidR="00B606A4" w:rsidRPr="00CF114D" w:rsidRDefault="00B606A4" w:rsidP="00622711">
            <w:pPr>
              <w:tabs>
                <w:tab w:val="left" w:pos="9360"/>
              </w:tabs>
              <w:contextualSpacing/>
              <w:rPr>
                <w:rFonts w:ascii="TimesNewRomanPSMT" w:hAnsi="TimesNewRomanPSMT" w:cs="TimesNewRomanPSMT"/>
                <w:sz w:val="20"/>
                <w:szCs w:val="20"/>
              </w:rPr>
            </w:pPr>
            <w:r w:rsidRPr="00CF114D">
              <w:rPr>
                <w:rFonts w:ascii="TimesNewRomanPSMT" w:hAnsi="TimesNewRomanPSMT" w:cs="TimesNewRomanPSMT"/>
                <w:sz w:val="20"/>
                <w:szCs w:val="20"/>
              </w:rPr>
              <w:t xml:space="preserve">f. </w:t>
            </w:r>
            <w:r w:rsidRPr="00CF114D">
              <w:rPr>
                <w:rFonts w:ascii="TimesNewRomanPS-ItalicMT" w:hAnsi="TimesNewRomanPS-ItalicMT" w:cs="TimesNewRomanPS-ItalicMT"/>
                <w:i/>
                <w:iCs/>
                <w:sz w:val="20"/>
                <w:szCs w:val="20"/>
              </w:rPr>
              <w:t xml:space="preserve">Jobs and Income Growth. </w:t>
            </w:r>
            <w:r w:rsidRPr="00CF114D">
              <w:rPr>
                <w:rFonts w:ascii="TimesNewRomanPSMT" w:hAnsi="TimesNewRomanPSMT" w:cs="TimesNewRomanPSMT"/>
                <w:sz w:val="20"/>
                <w:szCs w:val="20"/>
              </w:rPr>
              <w:t>Up to 4 points</w:t>
            </w:r>
          </w:p>
        </w:tc>
        <w:tc>
          <w:tcPr>
            <w:tcW w:w="630" w:type="dxa"/>
          </w:tcPr>
          <w:p w14:paraId="7EB01941" w14:textId="77777777" w:rsidR="00212683" w:rsidRPr="00622711" w:rsidRDefault="00212683" w:rsidP="009A78ED">
            <w:pPr>
              <w:jc w:val="center"/>
              <w:rPr>
                <w:rFonts w:ascii="Times New Roman"/>
                <w:sz w:val="20"/>
              </w:rPr>
            </w:pPr>
          </w:p>
        </w:tc>
        <w:tc>
          <w:tcPr>
            <w:tcW w:w="1530" w:type="dxa"/>
          </w:tcPr>
          <w:p w14:paraId="44C5D1EB" w14:textId="77777777" w:rsidR="00212683" w:rsidRPr="00776D88" w:rsidRDefault="00830BAE" w:rsidP="00537125">
            <w:pPr>
              <w:jc w:val="center"/>
              <w:rPr>
                <w:rFonts w:ascii="Times New Roman"/>
                <w:sz w:val="20"/>
                <w:highlight w:val="yellow"/>
              </w:rPr>
            </w:pPr>
            <w:r>
              <w:rPr>
                <w:rFonts w:ascii="Times New Roman"/>
                <w:sz w:val="20"/>
              </w:rPr>
              <w:t>MH/ Scott</w:t>
            </w:r>
          </w:p>
        </w:tc>
        <w:tc>
          <w:tcPr>
            <w:tcW w:w="720" w:type="dxa"/>
          </w:tcPr>
          <w:p w14:paraId="7412EF39" w14:textId="77777777" w:rsidR="00212683" w:rsidRPr="00622711" w:rsidRDefault="00212683" w:rsidP="00537125">
            <w:pPr>
              <w:jc w:val="center"/>
              <w:rPr>
                <w:rFonts w:ascii="Times New Roman"/>
                <w:sz w:val="20"/>
              </w:rPr>
            </w:pPr>
          </w:p>
        </w:tc>
        <w:tc>
          <w:tcPr>
            <w:tcW w:w="1350" w:type="dxa"/>
          </w:tcPr>
          <w:p w14:paraId="15704928" w14:textId="77777777" w:rsidR="00212683" w:rsidRPr="00622711" w:rsidRDefault="00212683" w:rsidP="006673C2">
            <w:pPr>
              <w:jc w:val="center"/>
              <w:rPr>
                <w:rFonts w:ascii="Times New Roman"/>
                <w:sz w:val="20"/>
              </w:rPr>
            </w:pPr>
          </w:p>
        </w:tc>
      </w:tr>
      <w:tr w:rsidR="00212683" w:rsidRPr="00C60C1F" w14:paraId="50227D68" w14:textId="77777777" w:rsidTr="00581270">
        <w:tc>
          <w:tcPr>
            <w:tcW w:w="6660" w:type="dxa"/>
          </w:tcPr>
          <w:p w14:paraId="6C0F79D7" w14:textId="77777777" w:rsidR="00B606A4" w:rsidRPr="00CF114D" w:rsidRDefault="00B606A4" w:rsidP="00387DA1">
            <w:pPr>
              <w:rPr>
                <w:rFonts w:ascii="TimesNewRomanPSMT" w:hAnsi="TimesNewRomanPSMT" w:cs="TimesNewRomanPSMT"/>
                <w:sz w:val="20"/>
                <w:szCs w:val="20"/>
              </w:rPr>
            </w:pPr>
            <w:r w:rsidRPr="00CF114D">
              <w:rPr>
                <w:rFonts w:ascii="TimesNewRomanPSMT" w:hAnsi="TimesNewRomanPSMT" w:cs="TimesNewRomanPSMT"/>
                <w:sz w:val="20"/>
                <w:szCs w:val="20"/>
              </w:rPr>
              <w:t xml:space="preserve">g. </w:t>
            </w:r>
            <w:r w:rsidRPr="00CF114D">
              <w:rPr>
                <w:rFonts w:ascii="TimesNewRomanPS-ItalicMT" w:hAnsi="TimesNewRomanPS-ItalicMT" w:cs="TimesNewRomanPS-ItalicMT"/>
                <w:i/>
                <w:iCs/>
                <w:sz w:val="20"/>
                <w:szCs w:val="20"/>
              </w:rPr>
              <w:t xml:space="preserve">System Performance Measures. </w:t>
            </w:r>
            <w:r w:rsidRPr="00CF114D">
              <w:rPr>
                <w:rFonts w:ascii="TimesNewRomanPSMT" w:hAnsi="TimesNewRomanPSMT" w:cs="TimesNewRomanPSMT"/>
                <w:sz w:val="20"/>
                <w:szCs w:val="20"/>
              </w:rPr>
              <w:t>Up to 10 points</w:t>
            </w:r>
          </w:p>
        </w:tc>
        <w:tc>
          <w:tcPr>
            <w:tcW w:w="630" w:type="dxa"/>
          </w:tcPr>
          <w:p w14:paraId="28C224C5" w14:textId="77777777" w:rsidR="00212683" w:rsidRPr="00622711" w:rsidRDefault="00212683" w:rsidP="009A78ED">
            <w:pPr>
              <w:jc w:val="center"/>
              <w:rPr>
                <w:rFonts w:ascii="Times New Roman"/>
                <w:sz w:val="20"/>
              </w:rPr>
            </w:pPr>
          </w:p>
        </w:tc>
        <w:tc>
          <w:tcPr>
            <w:tcW w:w="1530" w:type="dxa"/>
          </w:tcPr>
          <w:p w14:paraId="3B095031" w14:textId="77777777" w:rsidR="00212683" w:rsidRPr="00776D88" w:rsidRDefault="00830BAE" w:rsidP="00537125">
            <w:pPr>
              <w:jc w:val="center"/>
              <w:rPr>
                <w:rFonts w:ascii="Times New Roman"/>
                <w:sz w:val="20"/>
                <w:highlight w:val="yellow"/>
              </w:rPr>
            </w:pPr>
            <w:r>
              <w:rPr>
                <w:rFonts w:ascii="Times New Roman"/>
                <w:sz w:val="20"/>
              </w:rPr>
              <w:t>MH/ Scott</w:t>
            </w:r>
          </w:p>
        </w:tc>
        <w:tc>
          <w:tcPr>
            <w:tcW w:w="720" w:type="dxa"/>
          </w:tcPr>
          <w:p w14:paraId="6F562B3C" w14:textId="77777777" w:rsidR="00212683" w:rsidRPr="00622711" w:rsidRDefault="00212683" w:rsidP="00537125">
            <w:pPr>
              <w:jc w:val="center"/>
              <w:rPr>
                <w:rFonts w:ascii="Times New Roman"/>
                <w:sz w:val="20"/>
              </w:rPr>
            </w:pPr>
          </w:p>
        </w:tc>
        <w:tc>
          <w:tcPr>
            <w:tcW w:w="1350" w:type="dxa"/>
          </w:tcPr>
          <w:p w14:paraId="57C588EB" w14:textId="77777777" w:rsidR="00212683" w:rsidRPr="00622711" w:rsidRDefault="00212683" w:rsidP="006673C2">
            <w:pPr>
              <w:jc w:val="center"/>
              <w:rPr>
                <w:rFonts w:ascii="Times New Roman"/>
                <w:sz w:val="20"/>
              </w:rPr>
            </w:pPr>
          </w:p>
        </w:tc>
      </w:tr>
      <w:tr w:rsidR="00B606A4" w:rsidRPr="00C60C1F" w14:paraId="6F47A709" w14:textId="77777777" w:rsidTr="00B606A4">
        <w:tc>
          <w:tcPr>
            <w:tcW w:w="6660" w:type="dxa"/>
            <w:shd w:val="clear" w:color="auto" w:fill="B2A1C7" w:themeFill="accent4" w:themeFillTint="99"/>
          </w:tcPr>
          <w:p w14:paraId="5631D70C" w14:textId="77777777" w:rsidR="00B606A4" w:rsidRPr="00CF114D" w:rsidRDefault="00B606A4" w:rsidP="00C60C1F">
            <w:pPr>
              <w:rPr>
                <w:rFonts w:ascii="Times New Roman"/>
                <w:sz w:val="20"/>
                <w:szCs w:val="20"/>
              </w:rPr>
            </w:pPr>
            <w:r w:rsidRPr="00CF114D">
              <w:rPr>
                <w:rFonts w:ascii="TimesNewRomanPSMT" w:hAnsi="TimesNewRomanPSMT" w:cs="TimesNewRomanPSMT"/>
                <w:sz w:val="20"/>
                <w:szCs w:val="20"/>
              </w:rPr>
              <w:t xml:space="preserve">6. </w:t>
            </w:r>
            <w:r w:rsidRPr="00CF114D">
              <w:rPr>
                <w:rFonts w:ascii="TimesNewRomanPS-BoldMT" w:hAnsi="TimesNewRomanPS-BoldMT" w:cs="TimesNewRomanPS-BoldMT"/>
                <w:b/>
                <w:bCs/>
                <w:sz w:val="20"/>
                <w:szCs w:val="20"/>
              </w:rPr>
              <w:t xml:space="preserve">Performance and Strategic Planning. </w:t>
            </w:r>
            <w:r w:rsidRPr="00CF114D">
              <w:rPr>
                <w:rFonts w:ascii="TimesNewRomanPSMT" w:hAnsi="TimesNewRomanPSMT" w:cs="TimesNewRomanPSMT"/>
                <w:sz w:val="20"/>
                <w:szCs w:val="20"/>
              </w:rPr>
              <w:t xml:space="preserve"> up to 60 points</w:t>
            </w:r>
          </w:p>
        </w:tc>
        <w:tc>
          <w:tcPr>
            <w:tcW w:w="630" w:type="dxa"/>
            <w:shd w:val="clear" w:color="auto" w:fill="B2A1C7" w:themeFill="accent4" w:themeFillTint="99"/>
          </w:tcPr>
          <w:p w14:paraId="5113C026" w14:textId="77777777" w:rsidR="00B606A4" w:rsidRPr="00622711" w:rsidRDefault="00B606A4" w:rsidP="00537125">
            <w:pPr>
              <w:jc w:val="center"/>
              <w:rPr>
                <w:rFonts w:ascii="Times New Roman"/>
                <w:sz w:val="20"/>
              </w:rPr>
            </w:pPr>
          </w:p>
        </w:tc>
        <w:tc>
          <w:tcPr>
            <w:tcW w:w="1530" w:type="dxa"/>
            <w:shd w:val="clear" w:color="auto" w:fill="B2A1C7" w:themeFill="accent4" w:themeFillTint="99"/>
          </w:tcPr>
          <w:p w14:paraId="7DBF5502" w14:textId="77777777" w:rsidR="00B606A4" w:rsidRPr="00776D88" w:rsidRDefault="00B606A4" w:rsidP="00537125">
            <w:pPr>
              <w:jc w:val="center"/>
              <w:rPr>
                <w:rFonts w:ascii="Times New Roman"/>
                <w:sz w:val="20"/>
                <w:highlight w:val="yellow"/>
              </w:rPr>
            </w:pPr>
          </w:p>
        </w:tc>
        <w:tc>
          <w:tcPr>
            <w:tcW w:w="720" w:type="dxa"/>
            <w:shd w:val="clear" w:color="auto" w:fill="B2A1C7" w:themeFill="accent4" w:themeFillTint="99"/>
          </w:tcPr>
          <w:p w14:paraId="302D1A73" w14:textId="77777777" w:rsidR="00B606A4" w:rsidRPr="00622711" w:rsidRDefault="00B606A4" w:rsidP="00537125">
            <w:pPr>
              <w:jc w:val="center"/>
              <w:rPr>
                <w:rFonts w:ascii="Times New Roman"/>
                <w:sz w:val="20"/>
              </w:rPr>
            </w:pPr>
          </w:p>
        </w:tc>
        <w:tc>
          <w:tcPr>
            <w:tcW w:w="1350" w:type="dxa"/>
            <w:shd w:val="clear" w:color="auto" w:fill="B2A1C7" w:themeFill="accent4" w:themeFillTint="99"/>
          </w:tcPr>
          <w:p w14:paraId="4D5C76D5" w14:textId="77777777" w:rsidR="00B606A4" w:rsidRPr="00622711" w:rsidRDefault="00B606A4" w:rsidP="006673C2">
            <w:pPr>
              <w:jc w:val="center"/>
              <w:rPr>
                <w:rFonts w:ascii="Times New Roman"/>
                <w:sz w:val="20"/>
              </w:rPr>
            </w:pPr>
          </w:p>
        </w:tc>
      </w:tr>
      <w:tr w:rsidR="00B606A4" w:rsidRPr="00C60C1F" w14:paraId="364A97F6" w14:textId="77777777" w:rsidTr="00581270">
        <w:tc>
          <w:tcPr>
            <w:tcW w:w="6660" w:type="dxa"/>
          </w:tcPr>
          <w:p w14:paraId="2AE0066C" w14:textId="77777777" w:rsidR="00B606A4" w:rsidRPr="00CD3D44" w:rsidRDefault="005F42FF" w:rsidP="00C60C1F">
            <w:pPr>
              <w:rPr>
                <w:rFonts w:ascii="Times New Roman"/>
                <w:sz w:val="20"/>
                <w:szCs w:val="20"/>
                <w:highlight w:val="cyan"/>
              </w:rPr>
            </w:pPr>
            <w:r w:rsidRPr="00CD3D44">
              <w:rPr>
                <w:rFonts w:ascii="TimesNewRomanPSMT" w:hAnsi="TimesNewRomanPSMT" w:cs="TimesNewRomanPSMT"/>
                <w:sz w:val="20"/>
                <w:szCs w:val="20"/>
                <w:highlight w:val="cyan"/>
              </w:rPr>
              <w:t xml:space="preserve">a. </w:t>
            </w:r>
            <w:r w:rsidRPr="00CD3D44">
              <w:rPr>
                <w:rFonts w:ascii="TimesNewRomanPS-ItalicMT" w:hAnsi="TimesNewRomanPS-ItalicMT" w:cs="TimesNewRomanPS-ItalicMT"/>
                <w:i/>
                <w:iCs/>
                <w:sz w:val="20"/>
                <w:szCs w:val="20"/>
                <w:highlight w:val="cyan"/>
              </w:rPr>
              <w:t xml:space="preserve">Ending Chronic Homelessness. </w:t>
            </w:r>
            <w:r w:rsidRPr="00CD3D44">
              <w:rPr>
                <w:rFonts w:ascii="TimesNewRomanPSMT" w:hAnsi="TimesNewRomanPSMT" w:cs="TimesNewRomanPSMT"/>
                <w:sz w:val="20"/>
                <w:szCs w:val="20"/>
                <w:highlight w:val="cyan"/>
              </w:rPr>
              <w:t>up to 15 points</w:t>
            </w:r>
          </w:p>
        </w:tc>
        <w:tc>
          <w:tcPr>
            <w:tcW w:w="630" w:type="dxa"/>
          </w:tcPr>
          <w:p w14:paraId="6F632457" w14:textId="77777777" w:rsidR="00B606A4" w:rsidRPr="00622711" w:rsidRDefault="00B606A4" w:rsidP="00537125">
            <w:pPr>
              <w:jc w:val="center"/>
              <w:rPr>
                <w:rFonts w:ascii="Times New Roman"/>
                <w:sz w:val="20"/>
              </w:rPr>
            </w:pPr>
          </w:p>
        </w:tc>
        <w:tc>
          <w:tcPr>
            <w:tcW w:w="1530" w:type="dxa"/>
          </w:tcPr>
          <w:p w14:paraId="497605E8" w14:textId="77777777" w:rsidR="00B606A4" w:rsidRPr="00776D88" w:rsidRDefault="00CD3D44" w:rsidP="00537125">
            <w:pPr>
              <w:jc w:val="center"/>
              <w:rPr>
                <w:rFonts w:ascii="Times New Roman"/>
                <w:sz w:val="20"/>
                <w:highlight w:val="yellow"/>
              </w:rPr>
            </w:pPr>
            <w:r>
              <w:rPr>
                <w:rFonts w:ascii="Times New Roman"/>
                <w:sz w:val="20"/>
                <w:highlight w:val="yellow"/>
              </w:rPr>
              <w:t>Anne</w:t>
            </w:r>
          </w:p>
        </w:tc>
        <w:tc>
          <w:tcPr>
            <w:tcW w:w="720" w:type="dxa"/>
          </w:tcPr>
          <w:p w14:paraId="4FCD6920" w14:textId="77777777" w:rsidR="00B606A4" w:rsidRPr="00622711" w:rsidRDefault="00B606A4" w:rsidP="00537125">
            <w:pPr>
              <w:jc w:val="center"/>
              <w:rPr>
                <w:rFonts w:ascii="Times New Roman"/>
                <w:sz w:val="20"/>
              </w:rPr>
            </w:pPr>
          </w:p>
        </w:tc>
        <w:tc>
          <w:tcPr>
            <w:tcW w:w="1350" w:type="dxa"/>
          </w:tcPr>
          <w:p w14:paraId="1646D448" w14:textId="77777777" w:rsidR="00B606A4" w:rsidRPr="00622711" w:rsidRDefault="00B606A4" w:rsidP="006673C2">
            <w:pPr>
              <w:jc w:val="center"/>
              <w:rPr>
                <w:rFonts w:ascii="Times New Roman"/>
                <w:sz w:val="20"/>
              </w:rPr>
            </w:pPr>
          </w:p>
        </w:tc>
      </w:tr>
      <w:tr w:rsidR="00B606A4" w:rsidRPr="00C60C1F" w14:paraId="6F4D18C7" w14:textId="77777777" w:rsidTr="00581270">
        <w:tc>
          <w:tcPr>
            <w:tcW w:w="6660" w:type="dxa"/>
          </w:tcPr>
          <w:p w14:paraId="66B48EFB" w14:textId="77777777" w:rsidR="00CF114D" w:rsidRPr="00CD3D44" w:rsidRDefault="005F42FF" w:rsidP="00CF114D">
            <w:pPr>
              <w:pStyle w:val="ListParagraph"/>
              <w:numPr>
                <w:ilvl w:val="0"/>
                <w:numId w:val="20"/>
              </w:numPr>
              <w:autoSpaceDE w:val="0"/>
              <w:autoSpaceDN w:val="0"/>
              <w:adjustRightInd w:val="0"/>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 xml:space="preserve">3 points will be awarded to </w:t>
            </w:r>
            <w:proofErr w:type="spellStart"/>
            <w:r w:rsidRPr="00CD3D44">
              <w:rPr>
                <w:rFonts w:ascii="TimesNewRomanPSMT" w:hAnsi="TimesNewRomanPSMT" w:cs="TimesNewRomanPSMT"/>
                <w:sz w:val="20"/>
                <w:szCs w:val="20"/>
                <w:highlight w:val="cyan"/>
              </w:rPr>
              <w:t>CoCs</w:t>
            </w:r>
            <w:proofErr w:type="spellEnd"/>
            <w:r w:rsidRPr="00CD3D44">
              <w:rPr>
                <w:rFonts w:ascii="TimesNewRomanPSMT" w:hAnsi="TimesNewRomanPSMT" w:cs="TimesNewRomanPSMT"/>
                <w:sz w:val="20"/>
                <w:szCs w:val="20"/>
                <w:highlight w:val="cyan"/>
              </w:rPr>
              <w:t xml:space="preserve"> that have adopted the order of </w:t>
            </w:r>
          </w:p>
          <w:p w14:paraId="37DE327D" w14:textId="77777777" w:rsidR="00B606A4" w:rsidRPr="00CD3D44" w:rsidRDefault="005F42FF" w:rsidP="00CF114D">
            <w:pPr>
              <w:pStyle w:val="ListParagraph"/>
              <w:autoSpaceDE w:val="0"/>
              <w:autoSpaceDN w:val="0"/>
              <w:adjustRightInd w:val="0"/>
              <w:ind w:left="645"/>
              <w:rPr>
                <w:rFonts w:ascii="TimesNewRomanPS-ItalicMT" w:hAnsi="TimesNewRomanPS-ItalicMT" w:cs="TimesNewRomanPS-ItalicMT"/>
                <w:i/>
                <w:iCs/>
                <w:sz w:val="20"/>
                <w:szCs w:val="20"/>
                <w:highlight w:val="cyan"/>
              </w:rPr>
            </w:pPr>
            <w:r w:rsidRPr="00CD3D44">
              <w:rPr>
                <w:rFonts w:ascii="TimesNewRomanPSMT" w:hAnsi="TimesNewRomanPSMT" w:cs="TimesNewRomanPSMT"/>
                <w:sz w:val="20"/>
                <w:szCs w:val="20"/>
                <w:highlight w:val="cyan"/>
              </w:rPr>
              <w:t xml:space="preserve">priority in </w:t>
            </w:r>
            <w:r w:rsidRPr="00CD3D44">
              <w:rPr>
                <w:rFonts w:ascii="TimesNewRomanPS-ItalicMT" w:hAnsi="TimesNewRomanPS-ItalicMT" w:cs="TimesNewRomanPS-ItalicMT"/>
                <w:i/>
                <w:iCs/>
                <w:sz w:val="20"/>
                <w:szCs w:val="20"/>
                <w:highlight w:val="cyan"/>
              </w:rPr>
              <w:t>Notice CPD14-012:</w:t>
            </w:r>
          </w:p>
        </w:tc>
        <w:tc>
          <w:tcPr>
            <w:tcW w:w="630" w:type="dxa"/>
          </w:tcPr>
          <w:p w14:paraId="6243B030" w14:textId="77777777" w:rsidR="00B606A4" w:rsidRPr="00622711" w:rsidRDefault="00B606A4" w:rsidP="00537125">
            <w:pPr>
              <w:jc w:val="center"/>
              <w:rPr>
                <w:rFonts w:ascii="Times New Roman"/>
                <w:sz w:val="20"/>
              </w:rPr>
            </w:pPr>
          </w:p>
        </w:tc>
        <w:tc>
          <w:tcPr>
            <w:tcW w:w="1530" w:type="dxa"/>
          </w:tcPr>
          <w:p w14:paraId="59CB05EA" w14:textId="77777777" w:rsidR="00B606A4" w:rsidRPr="00776D88" w:rsidRDefault="00CD3D44" w:rsidP="00537125">
            <w:pPr>
              <w:jc w:val="center"/>
              <w:rPr>
                <w:rFonts w:ascii="Times New Roman"/>
                <w:sz w:val="20"/>
                <w:highlight w:val="yellow"/>
              </w:rPr>
            </w:pPr>
            <w:r>
              <w:rPr>
                <w:rFonts w:ascii="Times New Roman"/>
                <w:sz w:val="20"/>
                <w:highlight w:val="yellow"/>
              </w:rPr>
              <w:t>Anne</w:t>
            </w:r>
          </w:p>
        </w:tc>
        <w:tc>
          <w:tcPr>
            <w:tcW w:w="720" w:type="dxa"/>
          </w:tcPr>
          <w:p w14:paraId="5CAED219" w14:textId="77777777" w:rsidR="00B606A4" w:rsidRPr="00622711" w:rsidRDefault="00B606A4" w:rsidP="00537125">
            <w:pPr>
              <w:jc w:val="center"/>
              <w:rPr>
                <w:rFonts w:ascii="Times New Roman"/>
                <w:sz w:val="20"/>
              </w:rPr>
            </w:pPr>
          </w:p>
        </w:tc>
        <w:tc>
          <w:tcPr>
            <w:tcW w:w="1350" w:type="dxa"/>
          </w:tcPr>
          <w:p w14:paraId="39BEFF18" w14:textId="77777777" w:rsidR="00B606A4" w:rsidRPr="00622711" w:rsidRDefault="00B606A4" w:rsidP="006673C2">
            <w:pPr>
              <w:jc w:val="center"/>
              <w:rPr>
                <w:rFonts w:ascii="Times New Roman"/>
                <w:sz w:val="20"/>
              </w:rPr>
            </w:pPr>
          </w:p>
        </w:tc>
      </w:tr>
      <w:tr w:rsidR="00B606A4" w:rsidRPr="00C60C1F" w14:paraId="5E1618F9" w14:textId="77777777" w:rsidTr="00581270">
        <w:tc>
          <w:tcPr>
            <w:tcW w:w="6660" w:type="dxa"/>
          </w:tcPr>
          <w:p w14:paraId="7BBC7B0F" w14:textId="77777777" w:rsidR="00CF114D" w:rsidRPr="00CD3D44" w:rsidRDefault="005F42FF" w:rsidP="00CF114D">
            <w:pPr>
              <w:pStyle w:val="ListParagraph"/>
              <w:numPr>
                <w:ilvl w:val="0"/>
                <w:numId w:val="20"/>
              </w:numPr>
              <w:autoSpaceDE w:val="0"/>
              <w:autoSpaceDN w:val="0"/>
              <w:adjustRightInd w:val="0"/>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 xml:space="preserve">Up to 10 points to </w:t>
            </w:r>
            <w:proofErr w:type="spellStart"/>
            <w:r w:rsidRPr="00CD3D44">
              <w:rPr>
                <w:rFonts w:ascii="TimesNewRomanPSMT" w:hAnsi="TimesNewRomanPSMT" w:cs="TimesNewRomanPSMT"/>
                <w:sz w:val="20"/>
                <w:szCs w:val="20"/>
                <w:highlight w:val="cyan"/>
              </w:rPr>
              <w:t>CoCs</w:t>
            </w:r>
            <w:proofErr w:type="spellEnd"/>
            <w:r w:rsidRPr="00CD3D44">
              <w:rPr>
                <w:rFonts w:ascii="TimesNewRomanPSMT" w:hAnsi="TimesNewRomanPSMT" w:cs="TimesNewRomanPSMT"/>
                <w:sz w:val="20"/>
                <w:szCs w:val="20"/>
                <w:highlight w:val="cyan"/>
              </w:rPr>
              <w:t xml:space="preserve"> that increase the total number of PSH </w:t>
            </w:r>
          </w:p>
          <w:p w14:paraId="08C9D687" w14:textId="77777777" w:rsidR="00B606A4" w:rsidRPr="00CD3D44" w:rsidRDefault="005F42FF" w:rsidP="00CF114D">
            <w:pPr>
              <w:pStyle w:val="ListParagraph"/>
              <w:autoSpaceDE w:val="0"/>
              <w:autoSpaceDN w:val="0"/>
              <w:adjustRightInd w:val="0"/>
              <w:ind w:left="645"/>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beds (from any funding</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source) dedicated to ending chronic homelessness</w:t>
            </w:r>
          </w:p>
        </w:tc>
        <w:tc>
          <w:tcPr>
            <w:tcW w:w="630" w:type="dxa"/>
          </w:tcPr>
          <w:p w14:paraId="4237B80F" w14:textId="77777777" w:rsidR="00B606A4" w:rsidRPr="00622711" w:rsidRDefault="00B606A4" w:rsidP="00537125">
            <w:pPr>
              <w:jc w:val="center"/>
              <w:rPr>
                <w:rFonts w:ascii="Times New Roman"/>
                <w:sz w:val="20"/>
              </w:rPr>
            </w:pPr>
          </w:p>
        </w:tc>
        <w:tc>
          <w:tcPr>
            <w:tcW w:w="1530" w:type="dxa"/>
          </w:tcPr>
          <w:p w14:paraId="6E9CE812" w14:textId="77777777" w:rsidR="00B606A4" w:rsidRPr="00776D88" w:rsidRDefault="00CD3D44" w:rsidP="00537125">
            <w:pPr>
              <w:jc w:val="center"/>
              <w:rPr>
                <w:rFonts w:ascii="Times New Roman"/>
                <w:sz w:val="20"/>
                <w:highlight w:val="yellow"/>
              </w:rPr>
            </w:pPr>
            <w:r>
              <w:rPr>
                <w:rFonts w:ascii="Times New Roman"/>
                <w:sz w:val="20"/>
                <w:highlight w:val="yellow"/>
              </w:rPr>
              <w:t>Anne</w:t>
            </w:r>
          </w:p>
        </w:tc>
        <w:tc>
          <w:tcPr>
            <w:tcW w:w="720" w:type="dxa"/>
          </w:tcPr>
          <w:p w14:paraId="147FE577" w14:textId="77777777" w:rsidR="00B606A4" w:rsidRPr="00622711" w:rsidRDefault="00B606A4" w:rsidP="00537125">
            <w:pPr>
              <w:jc w:val="center"/>
              <w:rPr>
                <w:rFonts w:ascii="Times New Roman"/>
                <w:sz w:val="20"/>
              </w:rPr>
            </w:pPr>
          </w:p>
        </w:tc>
        <w:tc>
          <w:tcPr>
            <w:tcW w:w="1350" w:type="dxa"/>
          </w:tcPr>
          <w:p w14:paraId="0992C181" w14:textId="77777777" w:rsidR="00B606A4" w:rsidRPr="00622711" w:rsidRDefault="00B606A4" w:rsidP="006673C2">
            <w:pPr>
              <w:jc w:val="center"/>
              <w:rPr>
                <w:rFonts w:ascii="Times New Roman"/>
                <w:sz w:val="20"/>
              </w:rPr>
            </w:pPr>
          </w:p>
        </w:tc>
      </w:tr>
      <w:tr w:rsidR="00B606A4" w:rsidRPr="00C60C1F" w14:paraId="20ACA23C" w14:textId="77777777" w:rsidTr="00581270">
        <w:tc>
          <w:tcPr>
            <w:tcW w:w="6660" w:type="dxa"/>
          </w:tcPr>
          <w:p w14:paraId="10C9019F" w14:textId="77777777" w:rsidR="00CF114D" w:rsidRPr="00CD3D44" w:rsidRDefault="005F42FF" w:rsidP="00CF114D">
            <w:pPr>
              <w:pStyle w:val="ListParagraph"/>
              <w:numPr>
                <w:ilvl w:val="0"/>
                <w:numId w:val="20"/>
              </w:numPr>
              <w:autoSpaceDE w:val="0"/>
              <w:autoSpaceDN w:val="0"/>
              <w:adjustRightInd w:val="0"/>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 xml:space="preserve">Up to 2 points to </w:t>
            </w:r>
            <w:proofErr w:type="spellStart"/>
            <w:r w:rsidRPr="00CD3D44">
              <w:rPr>
                <w:rFonts w:ascii="TimesNewRomanPSMT" w:hAnsi="TimesNewRomanPSMT" w:cs="TimesNewRomanPSMT"/>
                <w:sz w:val="20"/>
                <w:szCs w:val="20"/>
                <w:highlight w:val="cyan"/>
              </w:rPr>
              <w:t>CoCs</w:t>
            </w:r>
            <w:proofErr w:type="spellEnd"/>
            <w:r w:rsidRPr="00CD3D44">
              <w:rPr>
                <w:rFonts w:ascii="TimesNewRomanPSMT" w:hAnsi="TimesNewRomanPSMT" w:cs="TimesNewRomanPSMT"/>
                <w:sz w:val="20"/>
                <w:szCs w:val="20"/>
                <w:highlight w:val="cyan"/>
              </w:rPr>
              <w:t xml:space="preserve"> for reducing the number of chronically </w:t>
            </w:r>
          </w:p>
          <w:p w14:paraId="0A4FD93A" w14:textId="77777777" w:rsidR="00B606A4" w:rsidRPr="00CD3D44" w:rsidRDefault="005F42FF" w:rsidP="00CF114D">
            <w:pPr>
              <w:pStyle w:val="ListParagraph"/>
              <w:autoSpaceDE w:val="0"/>
              <w:autoSpaceDN w:val="0"/>
              <w:adjustRightInd w:val="0"/>
              <w:ind w:left="645"/>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homeless individuals and</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families in the CoC, as reported by the CoC in the 2016 PIT count</w:t>
            </w:r>
          </w:p>
        </w:tc>
        <w:tc>
          <w:tcPr>
            <w:tcW w:w="630" w:type="dxa"/>
          </w:tcPr>
          <w:p w14:paraId="344D3CD8" w14:textId="77777777" w:rsidR="00B606A4" w:rsidRPr="00622711" w:rsidRDefault="00B606A4" w:rsidP="00537125">
            <w:pPr>
              <w:jc w:val="center"/>
              <w:rPr>
                <w:rFonts w:ascii="Times New Roman"/>
                <w:sz w:val="20"/>
              </w:rPr>
            </w:pPr>
          </w:p>
        </w:tc>
        <w:tc>
          <w:tcPr>
            <w:tcW w:w="1530" w:type="dxa"/>
          </w:tcPr>
          <w:p w14:paraId="1223FBD8" w14:textId="77777777" w:rsidR="00B606A4" w:rsidRPr="00776D88" w:rsidRDefault="00CD3D44" w:rsidP="00537125">
            <w:pPr>
              <w:jc w:val="center"/>
              <w:rPr>
                <w:rFonts w:ascii="Times New Roman"/>
                <w:sz w:val="20"/>
                <w:highlight w:val="yellow"/>
              </w:rPr>
            </w:pPr>
            <w:r>
              <w:rPr>
                <w:rFonts w:ascii="Times New Roman"/>
                <w:sz w:val="20"/>
                <w:highlight w:val="yellow"/>
              </w:rPr>
              <w:t>Anne</w:t>
            </w:r>
          </w:p>
        </w:tc>
        <w:tc>
          <w:tcPr>
            <w:tcW w:w="720" w:type="dxa"/>
          </w:tcPr>
          <w:p w14:paraId="09814AFD" w14:textId="77777777" w:rsidR="00B606A4" w:rsidRPr="00622711" w:rsidRDefault="00B606A4" w:rsidP="00537125">
            <w:pPr>
              <w:jc w:val="center"/>
              <w:rPr>
                <w:rFonts w:ascii="Times New Roman"/>
                <w:sz w:val="20"/>
              </w:rPr>
            </w:pPr>
          </w:p>
        </w:tc>
        <w:tc>
          <w:tcPr>
            <w:tcW w:w="1350" w:type="dxa"/>
          </w:tcPr>
          <w:p w14:paraId="40268442" w14:textId="77777777" w:rsidR="00B606A4" w:rsidRPr="00622711" w:rsidRDefault="00B606A4" w:rsidP="006673C2">
            <w:pPr>
              <w:jc w:val="center"/>
              <w:rPr>
                <w:rFonts w:ascii="Times New Roman"/>
                <w:sz w:val="20"/>
              </w:rPr>
            </w:pPr>
          </w:p>
        </w:tc>
      </w:tr>
      <w:tr w:rsidR="00B606A4" w:rsidRPr="00C60C1F" w14:paraId="19E31588" w14:textId="77777777" w:rsidTr="00581270">
        <w:tc>
          <w:tcPr>
            <w:tcW w:w="6660" w:type="dxa"/>
          </w:tcPr>
          <w:p w14:paraId="19D88B80" w14:textId="77777777" w:rsidR="00B606A4" w:rsidRPr="00CD3D44" w:rsidRDefault="005F42FF" w:rsidP="00C60C1F">
            <w:pPr>
              <w:rPr>
                <w:rFonts w:ascii="Times New Roman"/>
                <w:sz w:val="20"/>
                <w:szCs w:val="20"/>
                <w:highlight w:val="cyan"/>
              </w:rPr>
            </w:pPr>
            <w:r w:rsidRPr="00CD3D44">
              <w:rPr>
                <w:rFonts w:ascii="TimesNewRomanPSMT" w:hAnsi="TimesNewRomanPSMT" w:cs="TimesNewRomanPSMT"/>
                <w:sz w:val="20"/>
                <w:szCs w:val="20"/>
                <w:highlight w:val="cyan"/>
              </w:rPr>
              <w:t xml:space="preserve">b. </w:t>
            </w:r>
            <w:r w:rsidRPr="00CD3D44">
              <w:rPr>
                <w:rFonts w:ascii="TimesNewRomanPS-ItalicMT" w:hAnsi="TimesNewRomanPS-ItalicMT" w:cs="TimesNewRomanPS-ItalicMT"/>
                <w:i/>
                <w:iCs/>
                <w:sz w:val="20"/>
                <w:szCs w:val="20"/>
                <w:highlight w:val="cyan"/>
              </w:rPr>
              <w:t>Ending Homelessness Among Households with Children</w:t>
            </w:r>
            <w:r w:rsidRPr="00CD3D44">
              <w:rPr>
                <w:rFonts w:ascii="TimesNewRomanPSMT" w:hAnsi="TimesNewRomanPSMT" w:cs="TimesNewRomanPSMT"/>
                <w:sz w:val="20"/>
                <w:szCs w:val="20"/>
                <w:highlight w:val="cyan"/>
              </w:rPr>
              <w:t xml:space="preserve"> up to 15 points</w:t>
            </w:r>
          </w:p>
        </w:tc>
        <w:tc>
          <w:tcPr>
            <w:tcW w:w="630" w:type="dxa"/>
          </w:tcPr>
          <w:p w14:paraId="236C6DB7" w14:textId="77777777" w:rsidR="00B606A4" w:rsidRPr="00622711" w:rsidRDefault="00B606A4" w:rsidP="00537125">
            <w:pPr>
              <w:jc w:val="center"/>
              <w:rPr>
                <w:rFonts w:ascii="Times New Roman"/>
                <w:sz w:val="20"/>
              </w:rPr>
            </w:pPr>
          </w:p>
        </w:tc>
        <w:tc>
          <w:tcPr>
            <w:tcW w:w="1530" w:type="dxa"/>
          </w:tcPr>
          <w:p w14:paraId="11B9D283" w14:textId="77777777" w:rsidR="00B606A4" w:rsidRPr="00776D88" w:rsidRDefault="00CD3D44" w:rsidP="00537125">
            <w:pPr>
              <w:jc w:val="center"/>
              <w:rPr>
                <w:rFonts w:ascii="Times New Roman"/>
                <w:sz w:val="20"/>
                <w:highlight w:val="yellow"/>
              </w:rPr>
            </w:pPr>
            <w:r>
              <w:rPr>
                <w:rFonts w:ascii="Times New Roman"/>
                <w:sz w:val="20"/>
                <w:highlight w:val="yellow"/>
              </w:rPr>
              <w:t>Anne</w:t>
            </w:r>
          </w:p>
        </w:tc>
        <w:tc>
          <w:tcPr>
            <w:tcW w:w="720" w:type="dxa"/>
          </w:tcPr>
          <w:p w14:paraId="20CD9494" w14:textId="77777777" w:rsidR="00B606A4" w:rsidRPr="00622711" w:rsidRDefault="00B606A4" w:rsidP="00537125">
            <w:pPr>
              <w:jc w:val="center"/>
              <w:rPr>
                <w:rFonts w:ascii="Times New Roman"/>
                <w:sz w:val="20"/>
              </w:rPr>
            </w:pPr>
          </w:p>
        </w:tc>
        <w:tc>
          <w:tcPr>
            <w:tcW w:w="1350" w:type="dxa"/>
          </w:tcPr>
          <w:p w14:paraId="09C9B2F5" w14:textId="77777777" w:rsidR="00B606A4" w:rsidRPr="00622711" w:rsidRDefault="00B606A4" w:rsidP="006673C2">
            <w:pPr>
              <w:jc w:val="center"/>
              <w:rPr>
                <w:rFonts w:ascii="Times New Roman"/>
                <w:sz w:val="20"/>
              </w:rPr>
            </w:pPr>
          </w:p>
        </w:tc>
      </w:tr>
      <w:tr w:rsidR="00B606A4" w:rsidRPr="00C60C1F" w14:paraId="183E456C" w14:textId="77777777" w:rsidTr="00581270">
        <w:tc>
          <w:tcPr>
            <w:tcW w:w="6660" w:type="dxa"/>
          </w:tcPr>
          <w:p w14:paraId="37BDC28C" w14:textId="77777777" w:rsidR="00CF114D" w:rsidRPr="00CD3D44" w:rsidRDefault="005F42FF" w:rsidP="00CF114D">
            <w:pPr>
              <w:pStyle w:val="ListParagraph"/>
              <w:numPr>
                <w:ilvl w:val="0"/>
                <w:numId w:val="21"/>
              </w:numPr>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 xml:space="preserve">Up to 3 points to </w:t>
            </w:r>
            <w:proofErr w:type="spellStart"/>
            <w:r w:rsidRPr="00CD3D44">
              <w:rPr>
                <w:rFonts w:ascii="TimesNewRomanPSMT" w:hAnsi="TimesNewRomanPSMT" w:cs="TimesNewRomanPSMT"/>
                <w:sz w:val="20"/>
                <w:szCs w:val="20"/>
                <w:highlight w:val="cyan"/>
              </w:rPr>
              <w:t>CoCs</w:t>
            </w:r>
            <w:proofErr w:type="spellEnd"/>
            <w:r w:rsidRPr="00CD3D44">
              <w:rPr>
                <w:rFonts w:ascii="TimesNewRomanPSMT" w:hAnsi="TimesNewRomanPSMT" w:cs="TimesNewRomanPSMT"/>
                <w:sz w:val="20"/>
                <w:szCs w:val="20"/>
                <w:highlight w:val="cyan"/>
              </w:rPr>
              <w:t xml:space="preserve"> that prioritize households with children </w:t>
            </w:r>
          </w:p>
          <w:p w14:paraId="05DD3AEC" w14:textId="77777777" w:rsidR="00B606A4" w:rsidRPr="00CD3D44" w:rsidRDefault="005F42FF" w:rsidP="00CF114D">
            <w:pPr>
              <w:pStyle w:val="ListParagraph"/>
              <w:ind w:left="645"/>
              <w:rPr>
                <w:rFonts w:ascii="Times New Roman"/>
                <w:sz w:val="20"/>
                <w:szCs w:val="20"/>
                <w:highlight w:val="cyan"/>
              </w:rPr>
            </w:pPr>
            <w:r w:rsidRPr="00CD3D44">
              <w:rPr>
                <w:rFonts w:ascii="TimesNewRomanPSMT" w:hAnsi="TimesNewRomanPSMT" w:cs="TimesNewRomanPSMT"/>
                <w:sz w:val="20"/>
                <w:szCs w:val="20"/>
                <w:highlight w:val="cyan"/>
              </w:rPr>
              <w:t>based on need</w:t>
            </w:r>
          </w:p>
        </w:tc>
        <w:tc>
          <w:tcPr>
            <w:tcW w:w="630" w:type="dxa"/>
          </w:tcPr>
          <w:p w14:paraId="132A1CD8" w14:textId="77777777" w:rsidR="00B606A4" w:rsidRPr="00622711" w:rsidRDefault="00B606A4" w:rsidP="00537125">
            <w:pPr>
              <w:jc w:val="center"/>
              <w:rPr>
                <w:rFonts w:ascii="Times New Roman"/>
                <w:sz w:val="20"/>
              </w:rPr>
            </w:pPr>
          </w:p>
        </w:tc>
        <w:tc>
          <w:tcPr>
            <w:tcW w:w="1530" w:type="dxa"/>
          </w:tcPr>
          <w:p w14:paraId="51A14B48" w14:textId="77777777" w:rsidR="00B606A4" w:rsidRPr="00776D88" w:rsidRDefault="00CD3D44" w:rsidP="00537125">
            <w:pPr>
              <w:jc w:val="center"/>
              <w:rPr>
                <w:rFonts w:ascii="Times New Roman"/>
                <w:sz w:val="20"/>
                <w:highlight w:val="yellow"/>
              </w:rPr>
            </w:pPr>
            <w:r>
              <w:rPr>
                <w:rFonts w:ascii="Times New Roman"/>
                <w:sz w:val="20"/>
                <w:highlight w:val="yellow"/>
              </w:rPr>
              <w:t>Anne</w:t>
            </w:r>
          </w:p>
        </w:tc>
        <w:tc>
          <w:tcPr>
            <w:tcW w:w="720" w:type="dxa"/>
          </w:tcPr>
          <w:p w14:paraId="33D1E791" w14:textId="77777777" w:rsidR="00B606A4" w:rsidRPr="00622711" w:rsidRDefault="00B606A4" w:rsidP="00537125">
            <w:pPr>
              <w:jc w:val="center"/>
              <w:rPr>
                <w:rFonts w:ascii="Times New Roman"/>
                <w:sz w:val="20"/>
              </w:rPr>
            </w:pPr>
          </w:p>
        </w:tc>
        <w:tc>
          <w:tcPr>
            <w:tcW w:w="1350" w:type="dxa"/>
          </w:tcPr>
          <w:p w14:paraId="16AD7A6C" w14:textId="77777777" w:rsidR="00B606A4" w:rsidRPr="00622711" w:rsidRDefault="00B606A4" w:rsidP="006673C2">
            <w:pPr>
              <w:jc w:val="center"/>
              <w:rPr>
                <w:rFonts w:ascii="Times New Roman"/>
                <w:sz w:val="20"/>
              </w:rPr>
            </w:pPr>
          </w:p>
        </w:tc>
      </w:tr>
      <w:tr w:rsidR="00B606A4" w:rsidRPr="00C60C1F" w14:paraId="365B7077" w14:textId="77777777" w:rsidTr="00581270">
        <w:tc>
          <w:tcPr>
            <w:tcW w:w="6660" w:type="dxa"/>
          </w:tcPr>
          <w:p w14:paraId="27F9FEF3" w14:textId="77777777" w:rsidR="00B606A4" w:rsidRPr="00CD3D44" w:rsidRDefault="005F42FF" w:rsidP="005F42FF">
            <w:pPr>
              <w:pStyle w:val="ListParagraph"/>
              <w:numPr>
                <w:ilvl w:val="0"/>
                <w:numId w:val="21"/>
              </w:numPr>
              <w:autoSpaceDE w:val="0"/>
              <w:autoSpaceDN w:val="0"/>
              <w:adjustRightInd w:val="0"/>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 xml:space="preserve">Up to 3 points to </w:t>
            </w:r>
            <w:proofErr w:type="spellStart"/>
            <w:r w:rsidRPr="00CD3D44">
              <w:rPr>
                <w:rFonts w:ascii="TimesNewRomanPSMT" w:hAnsi="TimesNewRomanPSMT" w:cs="TimesNewRomanPSMT"/>
                <w:sz w:val="20"/>
                <w:szCs w:val="20"/>
                <w:highlight w:val="cyan"/>
              </w:rPr>
              <w:t>CoCs</w:t>
            </w:r>
            <w:proofErr w:type="spellEnd"/>
            <w:r w:rsidRPr="00CD3D44">
              <w:rPr>
                <w:rFonts w:ascii="TimesNewRomanPSMT" w:hAnsi="TimesNewRomanPSMT" w:cs="TimesNewRomanPSMT"/>
                <w:sz w:val="20"/>
                <w:szCs w:val="20"/>
                <w:highlight w:val="cyan"/>
              </w:rPr>
              <w:t xml:space="preserve"> based on the local plan to rapidly re-house </w:t>
            </w:r>
            <w:r w:rsidR="00CF114D" w:rsidRPr="00CD3D44">
              <w:rPr>
                <w:rFonts w:ascii="TimesNewRomanPSMT" w:hAnsi="TimesNewRomanPSMT" w:cs="TimesNewRomanPSMT"/>
                <w:sz w:val="20"/>
                <w:szCs w:val="20"/>
                <w:highlight w:val="cyan"/>
              </w:rPr>
              <w:lastRenderedPageBreak/>
              <w:t xml:space="preserve">households with children </w:t>
            </w:r>
            <w:r w:rsidRPr="00CD3D44">
              <w:rPr>
                <w:rFonts w:ascii="TimesNewRomanPSMT" w:hAnsi="TimesNewRomanPSMT" w:cs="TimesNewRomanPSMT"/>
                <w:sz w:val="20"/>
                <w:szCs w:val="20"/>
                <w:highlight w:val="cyan"/>
              </w:rPr>
              <w:t>within 30 days</w:t>
            </w:r>
          </w:p>
        </w:tc>
        <w:tc>
          <w:tcPr>
            <w:tcW w:w="630" w:type="dxa"/>
          </w:tcPr>
          <w:p w14:paraId="3CB68B64" w14:textId="77777777" w:rsidR="00B606A4" w:rsidRPr="00622711" w:rsidRDefault="00B606A4" w:rsidP="00537125">
            <w:pPr>
              <w:jc w:val="center"/>
              <w:rPr>
                <w:rFonts w:ascii="Times New Roman"/>
                <w:sz w:val="20"/>
              </w:rPr>
            </w:pPr>
          </w:p>
        </w:tc>
        <w:tc>
          <w:tcPr>
            <w:tcW w:w="1530" w:type="dxa"/>
          </w:tcPr>
          <w:p w14:paraId="420E505F" w14:textId="77777777" w:rsidR="00B606A4" w:rsidRPr="00776D88" w:rsidRDefault="00CD3D44" w:rsidP="00537125">
            <w:pPr>
              <w:jc w:val="center"/>
              <w:rPr>
                <w:rFonts w:ascii="Times New Roman"/>
                <w:sz w:val="20"/>
                <w:highlight w:val="yellow"/>
              </w:rPr>
            </w:pPr>
            <w:r>
              <w:rPr>
                <w:rFonts w:ascii="Times New Roman"/>
                <w:sz w:val="20"/>
                <w:highlight w:val="yellow"/>
              </w:rPr>
              <w:t>Anne</w:t>
            </w:r>
          </w:p>
        </w:tc>
        <w:tc>
          <w:tcPr>
            <w:tcW w:w="720" w:type="dxa"/>
          </w:tcPr>
          <w:p w14:paraId="3A2E2C92" w14:textId="77777777" w:rsidR="00B606A4" w:rsidRPr="00622711" w:rsidRDefault="00B606A4" w:rsidP="00537125">
            <w:pPr>
              <w:jc w:val="center"/>
              <w:rPr>
                <w:rFonts w:ascii="Times New Roman"/>
                <w:sz w:val="20"/>
              </w:rPr>
            </w:pPr>
          </w:p>
        </w:tc>
        <w:tc>
          <w:tcPr>
            <w:tcW w:w="1350" w:type="dxa"/>
          </w:tcPr>
          <w:p w14:paraId="1870B1A3" w14:textId="77777777" w:rsidR="00B606A4" w:rsidRPr="00622711" w:rsidRDefault="00B606A4" w:rsidP="006673C2">
            <w:pPr>
              <w:jc w:val="center"/>
              <w:rPr>
                <w:rFonts w:ascii="Times New Roman"/>
                <w:sz w:val="20"/>
              </w:rPr>
            </w:pPr>
          </w:p>
        </w:tc>
      </w:tr>
      <w:tr w:rsidR="00B606A4" w:rsidRPr="00C60C1F" w14:paraId="21C1F11E" w14:textId="77777777" w:rsidTr="00581270">
        <w:tc>
          <w:tcPr>
            <w:tcW w:w="6660" w:type="dxa"/>
          </w:tcPr>
          <w:p w14:paraId="6CF64C2F" w14:textId="77777777" w:rsidR="00CF114D" w:rsidRPr="00CD3D44" w:rsidRDefault="005F42FF" w:rsidP="00CF114D">
            <w:pPr>
              <w:pStyle w:val="ListParagraph"/>
              <w:numPr>
                <w:ilvl w:val="0"/>
                <w:numId w:val="21"/>
              </w:numPr>
              <w:autoSpaceDE w:val="0"/>
              <w:autoSpaceDN w:val="0"/>
              <w:adjustRightInd w:val="0"/>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lastRenderedPageBreak/>
              <w:t xml:space="preserve">Up to 5 points to </w:t>
            </w:r>
            <w:proofErr w:type="spellStart"/>
            <w:r w:rsidRPr="00CD3D44">
              <w:rPr>
                <w:rFonts w:ascii="TimesNewRomanPSMT" w:hAnsi="TimesNewRomanPSMT" w:cs="TimesNewRomanPSMT"/>
                <w:sz w:val="20"/>
                <w:szCs w:val="20"/>
                <w:highlight w:val="cyan"/>
              </w:rPr>
              <w:t>CoCs</w:t>
            </w:r>
            <w:proofErr w:type="spellEnd"/>
            <w:r w:rsidRPr="00CD3D44">
              <w:rPr>
                <w:rFonts w:ascii="TimesNewRomanPSMT" w:hAnsi="TimesNewRomanPSMT" w:cs="TimesNewRomanPSMT"/>
                <w:sz w:val="20"/>
                <w:szCs w:val="20"/>
                <w:highlight w:val="cyan"/>
              </w:rPr>
              <w:t xml:space="preserve"> for the implementation of a rapid </w:t>
            </w:r>
          </w:p>
          <w:p w14:paraId="3FD5A7CD" w14:textId="77777777" w:rsidR="00B606A4" w:rsidRPr="00CD3D44" w:rsidRDefault="005F42FF" w:rsidP="00CF114D">
            <w:pPr>
              <w:pStyle w:val="ListParagraph"/>
              <w:autoSpaceDE w:val="0"/>
              <w:autoSpaceDN w:val="0"/>
              <w:adjustRightInd w:val="0"/>
              <w:ind w:left="645"/>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rehousing model that will reduce</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the number of homeless households with children and demonstrated an increase in the number</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of rapid rehousing units available</w:t>
            </w:r>
          </w:p>
        </w:tc>
        <w:tc>
          <w:tcPr>
            <w:tcW w:w="630" w:type="dxa"/>
          </w:tcPr>
          <w:p w14:paraId="02933FB7" w14:textId="77777777" w:rsidR="00B606A4" w:rsidRPr="00622711" w:rsidRDefault="00B606A4" w:rsidP="00537125">
            <w:pPr>
              <w:jc w:val="center"/>
              <w:rPr>
                <w:rFonts w:ascii="Times New Roman"/>
                <w:sz w:val="20"/>
              </w:rPr>
            </w:pPr>
          </w:p>
        </w:tc>
        <w:tc>
          <w:tcPr>
            <w:tcW w:w="1530" w:type="dxa"/>
          </w:tcPr>
          <w:p w14:paraId="65FFF398" w14:textId="77777777" w:rsidR="00B606A4" w:rsidRPr="00776D88" w:rsidRDefault="00CD3D44" w:rsidP="00537125">
            <w:pPr>
              <w:jc w:val="center"/>
              <w:rPr>
                <w:rFonts w:ascii="Times New Roman"/>
                <w:sz w:val="20"/>
                <w:highlight w:val="yellow"/>
              </w:rPr>
            </w:pPr>
            <w:r>
              <w:rPr>
                <w:rFonts w:ascii="Times New Roman"/>
                <w:sz w:val="20"/>
                <w:highlight w:val="yellow"/>
              </w:rPr>
              <w:t>Anne</w:t>
            </w:r>
          </w:p>
        </w:tc>
        <w:tc>
          <w:tcPr>
            <w:tcW w:w="720" w:type="dxa"/>
          </w:tcPr>
          <w:p w14:paraId="2730FD31" w14:textId="77777777" w:rsidR="00B606A4" w:rsidRPr="00622711" w:rsidRDefault="00B606A4" w:rsidP="00537125">
            <w:pPr>
              <w:jc w:val="center"/>
              <w:rPr>
                <w:rFonts w:ascii="Times New Roman"/>
                <w:sz w:val="20"/>
              </w:rPr>
            </w:pPr>
          </w:p>
        </w:tc>
        <w:tc>
          <w:tcPr>
            <w:tcW w:w="1350" w:type="dxa"/>
          </w:tcPr>
          <w:p w14:paraId="1D6E0BA8" w14:textId="77777777" w:rsidR="00B606A4" w:rsidRPr="00622711" w:rsidRDefault="00B606A4" w:rsidP="006673C2">
            <w:pPr>
              <w:jc w:val="center"/>
              <w:rPr>
                <w:rFonts w:ascii="Times New Roman"/>
                <w:sz w:val="20"/>
              </w:rPr>
            </w:pPr>
          </w:p>
        </w:tc>
      </w:tr>
      <w:tr w:rsidR="00B606A4" w:rsidRPr="00C60C1F" w14:paraId="7080AE33" w14:textId="77777777" w:rsidTr="00581270">
        <w:tc>
          <w:tcPr>
            <w:tcW w:w="6660" w:type="dxa"/>
          </w:tcPr>
          <w:p w14:paraId="284BD182" w14:textId="77777777" w:rsidR="00CF114D" w:rsidRPr="00CD3D44" w:rsidRDefault="005F42FF" w:rsidP="00CF114D">
            <w:pPr>
              <w:pStyle w:val="ListParagraph"/>
              <w:numPr>
                <w:ilvl w:val="0"/>
                <w:numId w:val="21"/>
              </w:numPr>
              <w:autoSpaceDE w:val="0"/>
              <w:autoSpaceDN w:val="0"/>
              <w:adjustRightInd w:val="0"/>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 xml:space="preserve">Up to 2 points to </w:t>
            </w:r>
            <w:proofErr w:type="spellStart"/>
            <w:r w:rsidRPr="00CD3D44">
              <w:rPr>
                <w:rFonts w:ascii="TimesNewRomanPSMT" w:hAnsi="TimesNewRomanPSMT" w:cs="TimesNewRomanPSMT"/>
                <w:sz w:val="20"/>
                <w:szCs w:val="20"/>
                <w:highlight w:val="cyan"/>
              </w:rPr>
              <w:t>CoCs</w:t>
            </w:r>
            <w:proofErr w:type="spellEnd"/>
            <w:r w:rsidRPr="00CD3D44">
              <w:rPr>
                <w:rFonts w:ascii="TimesNewRomanPSMT" w:hAnsi="TimesNewRomanPSMT" w:cs="TimesNewRomanPSMT"/>
                <w:sz w:val="20"/>
                <w:szCs w:val="20"/>
                <w:highlight w:val="cyan"/>
              </w:rPr>
              <w:t xml:space="preserve"> for ensuring emergency shelters, </w:t>
            </w:r>
          </w:p>
          <w:p w14:paraId="7FB1383F" w14:textId="77777777" w:rsidR="00B606A4" w:rsidRPr="00CD3D44" w:rsidRDefault="005F42FF" w:rsidP="00CF114D">
            <w:pPr>
              <w:pStyle w:val="ListParagraph"/>
              <w:autoSpaceDE w:val="0"/>
              <w:autoSpaceDN w:val="0"/>
              <w:adjustRightInd w:val="0"/>
              <w:ind w:left="645"/>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transitional housing, and</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permanent housing–permanent supportive housing and rapid rehousing projects within the</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CoC do not deny admission to or separate family members when they enter shelter or housing.</w:t>
            </w:r>
          </w:p>
        </w:tc>
        <w:tc>
          <w:tcPr>
            <w:tcW w:w="630" w:type="dxa"/>
          </w:tcPr>
          <w:p w14:paraId="4CC7C8CA" w14:textId="77777777" w:rsidR="00B606A4" w:rsidRPr="00622711" w:rsidRDefault="00B606A4" w:rsidP="00537125">
            <w:pPr>
              <w:jc w:val="center"/>
              <w:rPr>
                <w:rFonts w:ascii="Times New Roman"/>
                <w:sz w:val="20"/>
              </w:rPr>
            </w:pPr>
          </w:p>
        </w:tc>
        <w:tc>
          <w:tcPr>
            <w:tcW w:w="1530" w:type="dxa"/>
          </w:tcPr>
          <w:p w14:paraId="276EC99F" w14:textId="77777777" w:rsidR="00B606A4" w:rsidRPr="00776D88" w:rsidRDefault="00CD3D44" w:rsidP="00537125">
            <w:pPr>
              <w:jc w:val="center"/>
              <w:rPr>
                <w:rFonts w:ascii="Times New Roman"/>
                <w:sz w:val="20"/>
                <w:highlight w:val="yellow"/>
              </w:rPr>
            </w:pPr>
            <w:r>
              <w:rPr>
                <w:rFonts w:ascii="Times New Roman"/>
                <w:sz w:val="20"/>
                <w:highlight w:val="yellow"/>
              </w:rPr>
              <w:t>Anne</w:t>
            </w:r>
          </w:p>
        </w:tc>
        <w:tc>
          <w:tcPr>
            <w:tcW w:w="720" w:type="dxa"/>
          </w:tcPr>
          <w:p w14:paraId="6039A33D" w14:textId="77777777" w:rsidR="00B606A4" w:rsidRPr="00622711" w:rsidRDefault="00B606A4" w:rsidP="00537125">
            <w:pPr>
              <w:jc w:val="center"/>
              <w:rPr>
                <w:rFonts w:ascii="Times New Roman"/>
                <w:sz w:val="20"/>
              </w:rPr>
            </w:pPr>
          </w:p>
        </w:tc>
        <w:tc>
          <w:tcPr>
            <w:tcW w:w="1350" w:type="dxa"/>
          </w:tcPr>
          <w:p w14:paraId="1E384A22" w14:textId="77777777" w:rsidR="00B606A4" w:rsidRPr="00622711" w:rsidRDefault="00B606A4" w:rsidP="006673C2">
            <w:pPr>
              <w:jc w:val="center"/>
              <w:rPr>
                <w:rFonts w:ascii="Times New Roman"/>
                <w:sz w:val="20"/>
              </w:rPr>
            </w:pPr>
          </w:p>
        </w:tc>
      </w:tr>
      <w:tr w:rsidR="00B606A4" w:rsidRPr="00C60C1F" w14:paraId="67D77F64" w14:textId="77777777" w:rsidTr="00581270">
        <w:tc>
          <w:tcPr>
            <w:tcW w:w="6660" w:type="dxa"/>
          </w:tcPr>
          <w:p w14:paraId="13A7CF0B" w14:textId="77777777" w:rsidR="00CF114D" w:rsidRPr="00CD3D44" w:rsidRDefault="005F42FF" w:rsidP="00CF114D">
            <w:pPr>
              <w:pStyle w:val="ListParagraph"/>
              <w:numPr>
                <w:ilvl w:val="0"/>
                <w:numId w:val="21"/>
              </w:numPr>
              <w:autoSpaceDE w:val="0"/>
              <w:autoSpaceDN w:val="0"/>
              <w:adjustRightInd w:val="0"/>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 xml:space="preserve">Up to 2 points to </w:t>
            </w:r>
            <w:proofErr w:type="spellStart"/>
            <w:r w:rsidRPr="00CD3D44">
              <w:rPr>
                <w:rFonts w:ascii="TimesNewRomanPSMT" w:hAnsi="TimesNewRomanPSMT" w:cs="TimesNewRomanPSMT"/>
                <w:sz w:val="20"/>
                <w:szCs w:val="20"/>
                <w:highlight w:val="cyan"/>
              </w:rPr>
              <w:t>CoCs</w:t>
            </w:r>
            <w:proofErr w:type="spellEnd"/>
            <w:r w:rsidRPr="00CD3D44">
              <w:rPr>
                <w:rFonts w:ascii="TimesNewRomanPSMT" w:hAnsi="TimesNewRomanPSMT" w:cs="TimesNewRomanPSMT"/>
                <w:sz w:val="20"/>
                <w:szCs w:val="20"/>
                <w:highlight w:val="cyan"/>
              </w:rPr>
              <w:t xml:space="preserve"> that demonstrate the total number of </w:t>
            </w:r>
          </w:p>
          <w:p w14:paraId="27BE9DDB" w14:textId="77777777" w:rsidR="00B606A4" w:rsidRPr="00CD3D44" w:rsidRDefault="005F42FF" w:rsidP="00CF114D">
            <w:pPr>
              <w:pStyle w:val="ListParagraph"/>
              <w:autoSpaceDE w:val="0"/>
              <w:autoSpaceDN w:val="0"/>
              <w:adjustRightInd w:val="0"/>
              <w:ind w:left="645"/>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homeless households with</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children and youth, as reported in the 2016 PIT count</w:t>
            </w:r>
          </w:p>
        </w:tc>
        <w:tc>
          <w:tcPr>
            <w:tcW w:w="630" w:type="dxa"/>
          </w:tcPr>
          <w:p w14:paraId="56BAB1A0" w14:textId="77777777" w:rsidR="00B606A4" w:rsidRPr="00622711" w:rsidRDefault="00B606A4" w:rsidP="00537125">
            <w:pPr>
              <w:jc w:val="center"/>
              <w:rPr>
                <w:rFonts w:ascii="Times New Roman"/>
                <w:sz w:val="20"/>
              </w:rPr>
            </w:pPr>
          </w:p>
        </w:tc>
        <w:tc>
          <w:tcPr>
            <w:tcW w:w="1530" w:type="dxa"/>
          </w:tcPr>
          <w:p w14:paraId="533D2383" w14:textId="77777777" w:rsidR="00B606A4" w:rsidRPr="00776D88" w:rsidRDefault="00CD3D44" w:rsidP="00537125">
            <w:pPr>
              <w:jc w:val="center"/>
              <w:rPr>
                <w:rFonts w:ascii="Times New Roman"/>
                <w:sz w:val="20"/>
                <w:highlight w:val="yellow"/>
              </w:rPr>
            </w:pPr>
            <w:r>
              <w:rPr>
                <w:rFonts w:ascii="Times New Roman"/>
                <w:sz w:val="20"/>
                <w:highlight w:val="yellow"/>
              </w:rPr>
              <w:t>Anne</w:t>
            </w:r>
          </w:p>
        </w:tc>
        <w:tc>
          <w:tcPr>
            <w:tcW w:w="720" w:type="dxa"/>
          </w:tcPr>
          <w:p w14:paraId="6B883101" w14:textId="77777777" w:rsidR="00B606A4" w:rsidRPr="00622711" w:rsidRDefault="00B606A4" w:rsidP="00537125">
            <w:pPr>
              <w:jc w:val="center"/>
              <w:rPr>
                <w:rFonts w:ascii="Times New Roman"/>
                <w:sz w:val="20"/>
              </w:rPr>
            </w:pPr>
          </w:p>
        </w:tc>
        <w:tc>
          <w:tcPr>
            <w:tcW w:w="1350" w:type="dxa"/>
          </w:tcPr>
          <w:p w14:paraId="62CCDA17" w14:textId="77777777" w:rsidR="00B606A4" w:rsidRPr="00622711" w:rsidRDefault="00B606A4" w:rsidP="006673C2">
            <w:pPr>
              <w:jc w:val="center"/>
              <w:rPr>
                <w:rFonts w:ascii="Times New Roman"/>
                <w:sz w:val="20"/>
              </w:rPr>
            </w:pPr>
          </w:p>
        </w:tc>
      </w:tr>
      <w:tr w:rsidR="00B606A4" w:rsidRPr="00C60C1F" w14:paraId="7FACFD99" w14:textId="77777777" w:rsidTr="00581270">
        <w:tc>
          <w:tcPr>
            <w:tcW w:w="6660" w:type="dxa"/>
          </w:tcPr>
          <w:p w14:paraId="513F13C4" w14:textId="77777777" w:rsidR="00B606A4" w:rsidRPr="00CD3D44" w:rsidRDefault="005F42FF" w:rsidP="00C60C1F">
            <w:pPr>
              <w:rPr>
                <w:rFonts w:ascii="Times New Roman"/>
                <w:sz w:val="20"/>
                <w:szCs w:val="20"/>
                <w:highlight w:val="cyan"/>
              </w:rPr>
            </w:pPr>
            <w:r w:rsidRPr="00CD3D44">
              <w:rPr>
                <w:rFonts w:ascii="TimesNewRomanPSMT" w:hAnsi="TimesNewRomanPSMT" w:cs="TimesNewRomanPSMT"/>
                <w:sz w:val="20"/>
                <w:szCs w:val="20"/>
                <w:highlight w:val="cyan"/>
              </w:rPr>
              <w:t xml:space="preserve">c. </w:t>
            </w:r>
            <w:r w:rsidRPr="00CD3D44">
              <w:rPr>
                <w:rFonts w:ascii="TimesNewRomanPS-ItalicMT" w:hAnsi="TimesNewRomanPS-ItalicMT" w:cs="TimesNewRomanPS-ItalicMT"/>
                <w:i/>
                <w:iCs/>
                <w:sz w:val="20"/>
                <w:szCs w:val="20"/>
                <w:highlight w:val="cyan"/>
              </w:rPr>
              <w:t xml:space="preserve">Ending Youth Homelessness. </w:t>
            </w:r>
            <w:r w:rsidRPr="00CD3D44">
              <w:rPr>
                <w:rFonts w:ascii="TimesNewRomanPSMT" w:hAnsi="TimesNewRomanPSMT" w:cs="TimesNewRomanPSMT"/>
                <w:sz w:val="20"/>
                <w:szCs w:val="20"/>
                <w:highlight w:val="cyan"/>
              </w:rPr>
              <w:t>HUD will award up to 15 points</w:t>
            </w:r>
          </w:p>
        </w:tc>
        <w:tc>
          <w:tcPr>
            <w:tcW w:w="630" w:type="dxa"/>
          </w:tcPr>
          <w:p w14:paraId="7BE62A61" w14:textId="77777777" w:rsidR="00B606A4" w:rsidRPr="00622711" w:rsidRDefault="00B606A4" w:rsidP="00537125">
            <w:pPr>
              <w:jc w:val="center"/>
              <w:rPr>
                <w:rFonts w:ascii="Times New Roman"/>
                <w:sz w:val="20"/>
              </w:rPr>
            </w:pPr>
          </w:p>
        </w:tc>
        <w:tc>
          <w:tcPr>
            <w:tcW w:w="1530" w:type="dxa"/>
          </w:tcPr>
          <w:p w14:paraId="47F4C5D2" w14:textId="77777777" w:rsidR="00B606A4" w:rsidRPr="00776D88" w:rsidRDefault="00CD3D44" w:rsidP="00537125">
            <w:pPr>
              <w:jc w:val="center"/>
              <w:rPr>
                <w:rFonts w:ascii="Times New Roman"/>
                <w:sz w:val="20"/>
                <w:highlight w:val="yellow"/>
              </w:rPr>
            </w:pPr>
            <w:r>
              <w:rPr>
                <w:rFonts w:ascii="Times New Roman"/>
                <w:sz w:val="20"/>
                <w:highlight w:val="yellow"/>
              </w:rPr>
              <w:t>Anne</w:t>
            </w:r>
          </w:p>
        </w:tc>
        <w:tc>
          <w:tcPr>
            <w:tcW w:w="720" w:type="dxa"/>
          </w:tcPr>
          <w:p w14:paraId="1455E96D" w14:textId="77777777" w:rsidR="00B606A4" w:rsidRPr="00622711" w:rsidRDefault="00B606A4" w:rsidP="00537125">
            <w:pPr>
              <w:jc w:val="center"/>
              <w:rPr>
                <w:rFonts w:ascii="Times New Roman"/>
                <w:sz w:val="20"/>
              </w:rPr>
            </w:pPr>
          </w:p>
        </w:tc>
        <w:tc>
          <w:tcPr>
            <w:tcW w:w="1350" w:type="dxa"/>
          </w:tcPr>
          <w:p w14:paraId="3EE8AFCC" w14:textId="77777777" w:rsidR="00B606A4" w:rsidRPr="00622711" w:rsidRDefault="00B606A4" w:rsidP="006673C2">
            <w:pPr>
              <w:jc w:val="center"/>
              <w:rPr>
                <w:rFonts w:ascii="Times New Roman"/>
                <w:sz w:val="20"/>
              </w:rPr>
            </w:pPr>
          </w:p>
        </w:tc>
      </w:tr>
      <w:tr w:rsidR="00B606A4" w:rsidRPr="00C60C1F" w14:paraId="11A4E829" w14:textId="77777777" w:rsidTr="00581270">
        <w:tc>
          <w:tcPr>
            <w:tcW w:w="6660" w:type="dxa"/>
          </w:tcPr>
          <w:p w14:paraId="2A89C447" w14:textId="77777777" w:rsidR="00CF114D" w:rsidRPr="00CD3D44" w:rsidRDefault="005F42FF" w:rsidP="00CF114D">
            <w:pPr>
              <w:pStyle w:val="ListParagraph"/>
              <w:numPr>
                <w:ilvl w:val="0"/>
                <w:numId w:val="22"/>
              </w:numPr>
              <w:autoSpaceDE w:val="0"/>
              <w:autoSpaceDN w:val="0"/>
              <w:adjustRightInd w:val="0"/>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 xml:space="preserve">Up to 5 points to </w:t>
            </w:r>
            <w:proofErr w:type="spellStart"/>
            <w:r w:rsidRPr="00CD3D44">
              <w:rPr>
                <w:rFonts w:ascii="TimesNewRomanPSMT" w:hAnsi="TimesNewRomanPSMT" w:cs="TimesNewRomanPSMT"/>
                <w:sz w:val="20"/>
                <w:szCs w:val="20"/>
                <w:highlight w:val="cyan"/>
              </w:rPr>
              <w:t>CoCs</w:t>
            </w:r>
            <w:proofErr w:type="spellEnd"/>
            <w:r w:rsidRPr="00CD3D44">
              <w:rPr>
                <w:rFonts w:ascii="TimesNewRomanPSMT" w:hAnsi="TimesNewRomanPSMT" w:cs="TimesNewRomanPSMT"/>
                <w:sz w:val="20"/>
                <w:szCs w:val="20"/>
                <w:highlight w:val="cyan"/>
              </w:rPr>
              <w:t xml:space="preserve"> for strategies that address the unique </w:t>
            </w:r>
          </w:p>
          <w:p w14:paraId="023BAEA4" w14:textId="77777777" w:rsidR="00B606A4" w:rsidRPr="00CD3D44" w:rsidRDefault="005F42FF" w:rsidP="00CF114D">
            <w:pPr>
              <w:pStyle w:val="ListParagraph"/>
              <w:autoSpaceDE w:val="0"/>
              <w:autoSpaceDN w:val="0"/>
              <w:adjustRightInd w:val="0"/>
              <w:ind w:left="645"/>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needs of unaccompanied</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homeless youth and the existence of a proven strategy that addresses homeless youth</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trafficking and other forms of exploitation.</w:t>
            </w:r>
          </w:p>
        </w:tc>
        <w:tc>
          <w:tcPr>
            <w:tcW w:w="630" w:type="dxa"/>
          </w:tcPr>
          <w:p w14:paraId="46A76AB2" w14:textId="77777777" w:rsidR="00B606A4" w:rsidRPr="00622711" w:rsidRDefault="00B606A4" w:rsidP="00537125">
            <w:pPr>
              <w:jc w:val="center"/>
              <w:rPr>
                <w:rFonts w:ascii="Times New Roman"/>
                <w:sz w:val="20"/>
              </w:rPr>
            </w:pPr>
          </w:p>
        </w:tc>
        <w:tc>
          <w:tcPr>
            <w:tcW w:w="1530" w:type="dxa"/>
          </w:tcPr>
          <w:p w14:paraId="1FB51372" w14:textId="77777777" w:rsidR="00B606A4" w:rsidRPr="00776D88" w:rsidRDefault="00CD3D44" w:rsidP="00537125">
            <w:pPr>
              <w:jc w:val="center"/>
              <w:rPr>
                <w:rFonts w:ascii="Times New Roman"/>
                <w:sz w:val="20"/>
                <w:highlight w:val="yellow"/>
              </w:rPr>
            </w:pPr>
            <w:r>
              <w:rPr>
                <w:rFonts w:ascii="Times New Roman"/>
                <w:sz w:val="20"/>
                <w:highlight w:val="yellow"/>
              </w:rPr>
              <w:t>Anne</w:t>
            </w:r>
          </w:p>
        </w:tc>
        <w:tc>
          <w:tcPr>
            <w:tcW w:w="720" w:type="dxa"/>
          </w:tcPr>
          <w:p w14:paraId="00B7D2A9" w14:textId="77777777" w:rsidR="00B606A4" w:rsidRPr="00622711" w:rsidRDefault="00B606A4" w:rsidP="00537125">
            <w:pPr>
              <w:jc w:val="center"/>
              <w:rPr>
                <w:rFonts w:ascii="Times New Roman"/>
                <w:sz w:val="20"/>
              </w:rPr>
            </w:pPr>
          </w:p>
        </w:tc>
        <w:tc>
          <w:tcPr>
            <w:tcW w:w="1350" w:type="dxa"/>
          </w:tcPr>
          <w:p w14:paraId="2719537F" w14:textId="77777777" w:rsidR="00B606A4" w:rsidRPr="00622711" w:rsidRDefault="00B606A4" w:rsidP="006673C2">
            <w:pPr>
              <w:jc w:val="center"/>
              <w:rPr>
                <w:rFonts w:ascii="Times New Roman"/>
                <w:sz w:val="20"/>
              </w:rPr>
            </w:pPr>
          </w:p>
        </w:tc>
      </w:tr>
      <w:tr w:rsidR="00B606A4" w:rsidRPr="00C60C1F" w14:paraId="65274557" w14:textId="77777777" w:rsidTr="00581270">
        <w:tc>
          <w:tcPr>
            <w:tcW w:w="6660" w:type="dxa"/>
          </w:tcPr>
          <w:p w14:paraId="7E6B34A3" w14:textId="77777777" w:rsidR="00B606A4" w:rsidRPr="00CD3D44" w:rsidRDefault="005F42FF" w:rsidP="005F42FF">
            <w:pPr>
              <w:pStyle w:val="ListParagraph"/>
              <w:numPr>
                <w:ilvl w:val="0"/>
                <w:numId w:val="22"/>
              </w:numPr>
              <w:autoSpaceDE w:val="0"/>
              <w:autoSpaceDN w:val="0"/>
              <w:adjustRightInd w:val="0"/>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 xml:space="preserve">Up to 5 points to </w:t>
            </w:r>
            <w:proofErr w:type="spellStart"/>
            <w:r w:rsidRPr="00CD3D44">
              <w:rPr>
                <w:rFonts w:ascii="TimesNewRomanPSMT" w:hAnsi="TimesNewRomanPSMT" w:cs="TimesNewRomanPSMT"/>
                <w:sz w:val="20"/>
                <w:szCs w:val="20"/>
                <w:highlight w:val="cyan"/>
              </w:rPr>
              <w:t>CoCs</w:t>
            </w:r>
            <w:proofErr w:type="spellEnd"/>
            <w:r w:rsidRPr="00CD3D44">
              <w:rPr>
                <w:rFonts w:ascii="TimesNewRomanPSMT" w:hAnsi="TimesNewRomanPSMT" w:cs="TimesNewRomanPSMT"/>
                <w:sz w:val="20"/>
                <w:szCs w:val="20"/>
                <w:highlight w:val="cyan"/>
              </w:rPr>
              <w:t xml:space="preserve"> that demonstrate an increase, as recorded in the HMIS data field</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“residence prior to entry” from October 1, 2014 through September 30, 2015, in the number of</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unaccompanied homeless youth (up to age 24) served who were residing on the streets or in</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places not meant for human habitation prior to entering a homeless project</w:t>
            </w:r>
          </w:p>
        </w:tc>
        <w:tc>
          <w:tcPr>
            <w:tcW w:w="630" w:type="dxa"/>
          </w:tcPr>
          <w:p w14:paraId="71CF3B33" w14:textId="77777777" w:rsidR="00B606A4" w:rsidRPr="00622711" w:rsidRDefault="00B606A4" w:rsidP="00537125">
            <w:pPr>
              <w:jc w:val="center"/>
              <w:rPr>
                <w:rFonts w:ascii="Times New Roman"/>
                <w:sz w:val="20"/>
              </w:rPr>
            </w:pPr>
          </w:p>
        </w:tc>
        <w:tc>
          <w:tcPr>
            <w:tcW w:w="1530" w:type="dxa"/>
          </w:tcPr>
          <w:p w14:paraId="361EFE00" w14:textId="77777777" w:rsidR="00B606A4" w:rsidRPr="00776D88" w:rsidRDefault="00CD3D44" w:rsidP="00537125">
            <w:pPr>
              <w:jc w:val="center"/>
              <w:rPr>
                <w:rFonts w:ascii="Times New Roman"/>
                <w:sz w:val="20"/>
                <w:highlight w:val="yellow"/>
              </w:rPr>
            </w:pPr>
            <w:r>
              <w:rPr>
                <w:rFonts w:ascii="Times New Roman"/>
                <w:sz w:val="20"/>
                <w:highlight w:val="yellow"/>
              </w:rPr>
              <w:t>Anne</w:t>
            </w:r>
          </w:p>
        </w:tc>
        <w:tc>
          <w:tcPr>
            <w:tcW w:w="720" w:type="dxa"/>
          </w:tcPr>
          <w:p w14:paraId="5E03242F" w14:textId="77777777" w:rsidR="00B606A4" w:rsidRPr="00622711" w:rsidRDefault="00B606A4" w:rsidP="00537125">
            <w:pPr>
              <w:jc w:val="center"/>
              <w:rPr>
                <w:rFonts w:ascii="Times New Roman"/>
                <w:sz w:val="20"/>
              </w:rPr>
            </w:pPr>
          </w:p>
        </w:tc>
        <w:tc>
          <w:tcPr>
            <w:tcW w:w="1350" w:type="dxa"/>
          </w:tcPr>
          <w:p w14:paraId="39900547" w14:textId="77777777" w:rsidR="00B606A4" w:rsidRPr="00622711" w:rsidRDefault="00B606A4" w:rsidP="006673C2">
            <w:pPr>
              <w:jc w:val="center"/>
              <w:rPr>
                <w:rFonts w:ascii="Times New Roman"/>
                <w:sz w:val="20"/>
              </w:rPr>
            </w:pPr>
          </w:p>
        </w:tc>
      </w:tr>
      <w:tr w:rsidR="00B606A4" w:rsidRPr="00C60C1F" w14:paraId="2ED5DC3B" w14:textId="77777777" w:rsidTr="00581270">
        <w:tc>
          <w:tcPr>
            <w:tcW w:w="6660" w:type="dxa"/>
          </w:tcPr>
          <w:p w14:paraId="2E9BFE90" w14:textId="77777777" w:rsidR="00CF114D" w:rsidRPr="00CD3D44" w:rsidRDefault="005F42FF" w:rsidP="00CF114D">
            <w:pPr>
              <w:pStyle w:val="ListParagraph"/>
              <w:numPr>
                <w:ilvl w:val="0"/>
                <w:numId w:val="22"/>
              </w:numPr>
              <w:autoSpaceDE w:val="0"/>
              <w:autoSpaceDN w:val="0"/>
              <w:adjustRightInd w:val="0"/>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 xml:space="preserve">Up to 3 points to </w:t>
            </w:r>
            <w:proofErr w:type="spellStart"/>
            <w:r w:rsidRPr="00CD3D44">
              <w:rPr>
                <w:rFonts w:ascii="TimesNewRomanPSMT" w:hAnsi="TimesNewRomanPSMT" w:cs="TimesNewRomanPSMT"/>
                <w:sz w:val="20"/>
                <w:szCs w:val="20"/>
                <w:highlight w:val="cyan"/>
              </w:rPr>
              <w:t>CoCs</w:t>
            </w:r>
            <w:proofErr w:type="spellEnd"/>
            <w:r w:rsidRPr="00CD3D44">
              <w:rPr>
                <w:rFonts w:ascii="TimesNewRomanPSMT" w:hAnsi="TimesNewRomanPSMT" w:cs="TimesNewRomanPSMT"/>
                <w:sz w:val="20"/>
                <w:szCs w:val="20"/>
                <w:highlight w:val="cyan"/>
              </w:rPr>
              <w:t xml:space="preserve"> that demonstrate a proposed plan to </w:t>
            </w:r>
          </w:p>
          <w:p w14:paraId="318199A1" w14:textId="77777777" w:rsidR="00B606A4" w:rsidRPr="00CD3D44" w:rsidRDefault="005F42FF" w:rsidP="00CF114D">
            <w:pPr>
              <w:pStyle w:val="ListParagraph"/>
              <w:autoSpaceDE w:val="0"/>
              <w:autoSpaceDN w:val="0"/>
              <w:adjustRightInd w:val="0"/>
              <w:ind w:left="645"/>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increase funding for</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unaccompanied youth homeless programs in Calendar Year 2017</w:t>
            </w:r>
          </w:p>
        </w:tc>
        <w:tc>
          <w:tcPr>
            <w:tcW w:w="630" w:type="dxa"/>
          </w:tcPr>
          <w:p w14:paraId="53EF7B9F" w14:textId="77777777" w:rsidR="00B606A4" w:rsidRPr="00622711" w:rsidRDefault="00B606A4" w:rsidP="00537125">
            <w:pPr>
              <w:jc w:val="center"/>
              <w:rPr>
                <w:rFonts w:ascii="Times New Roman"/>
                <w:sz w:val="20"/>
              </w:rPr>
            </w:pPr>
          </w:p>
        </w:tc>
        <w:tc>
          <w:tcPr>
            <w:tcW w:w="1530" w:type="dxa"/>
          </w:tcPr>
          <w:p w14:paraId="25665D34" w14:textId="77777777" w:rsidR="00B606A4" w:rsidRPr="00776D88" w:rsidRDefault="00CD3D44" w:rsidP="00537125">
            <w:pPr>
              <w:jc w:val="center"/>
              <w:rPr>
                <w:rFonts w:ascii="Times New Roman"/>
                <w:sz w:val="20"/>
                <w:highlight w:val="yellow"/>
              </w:rPr>
            </w:pPr>
            <w:r>
              <w:rPr>
                <w:rFonts w:ascii="Times New Roman"/>
                <w:sz w:val="20"/>
                <w:highlight w:val="yellow"/>
              </w:rPr>
              <w:t>Anne</w:t>
            </w:r>
          </w:p>
        </w:tc>
        <w:tc>
          <w:tcPr>
            <w:tcW w:w="720" w:type="dxa"/>
          </w:tcPr>
          <w:p w14:paraId="63125095" w14:textId="77777777" w:rsidR="00B606A4" w:rsidRPr="00622711" w:rsidRDefault="00B606A4" w:rsidP="00537125">
            <w:pPr>
              <w:jc w:val="center"/>
              <w:rPr>
                <w:rFonts w:ascii="Times New Roman"/>
                <w:sz w:val="20"/>
              </w:rPr>
            </w:pPr>
          </w:p>
        </w:tc>
        <w:tc>
          <w:tcPr>
            <w:tcW w:w="1350" w:type="dxa"/>
          </w:tcPr>
          <w:p w14:paraId="50AA42EA" w14:textId="77777777" w:rsidR="00B606A4" w:rsidRPr="00622711" w:rsidRDefault="00B606A4" w:rsidP="006673C2">
            <w:pPr>
              <w:jc w:val="center"/>
              <w:rPr>
                <w:rFonts w:ascii="Times New Roman"/>
                <w:sz w:val="20"/>
              </w:rPr>
            </w:pPr>
          </w:p>
        </w:tc>
      </w:tr>
      <w:tr w:rsidR="00B606A4" w:rsidRPr="00C60C1F" w14:paraId="7D57C990" w14:textId="77777777" w:rsidTr="00581270">
        <w:tc>
          <w:tcPr>
            <w:tcW w:w="6660" w:type="dxa"/>
          </w:tcPr>
          <w:p w14:paraId="5D6E9960" w14:textId="77777777" w:rsidR="00B606A4" w:rsidRPr="00CD3D44" w:rsidRDefault="005F42FF" w:rsidP="005F42FF">
            <w:pPr>
              <w:pStyle w:val="ListParagraph"/>
              <w:numPr>
                <w:ilvl w:val="0"/>
                <w:numId w:val="22"/>
              </w:numPr>
              <w:autoSpaceDE w:val="0"/>
              <w:autoSpaceDN w:val="0"/>
              <w:adjustRightInd w:val="0"/>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 xml:space="preserve">Up to 1 point to </w:t>
            </w:r>
            <w:proofErr w:type="spellStart"/>
            <w:r w:rsidRPr="00CD3D44">
              <w:rPr>
                <w:rFonts w:ascii="TimesNewRomanPSMT" w:hAnsi="TimesNewRomanPSMT" w:cs="TimesNewRomanPSMT"/>
                <w:sz w:val="20"/>
                <w:szCs w:val="20"/>
                <w:highlight w:val="cyan"/>
              </w:rPr>
              <w:t>CoCs</w:t>
            </w:r>
            <w:proofErr w:type="spellEnd"/>
            <w:r w:rsidRPr="00CD3D44">
              <w:rPr>
                <w:rFonts w:ascii="TimesNewRomanPSMT" w:hAnsi="TimesNewRomanPSMT" w:cs="TimesNewRomanPSMT"/>
                <w:sz w:val="20"/>
                <w:szCs w:val="20"/>
                <w:highlight w:val="cyan"/>
              </w:rPr>
              <w:t xml:space="preserve"> that specifically describe how it collaborates with local education</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authorities and school districts in the geographic area to assist in the identification of</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individuals and families who become or remain homeless and are informed of the eligibility of</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 xml:space="preserve">services under subtitle B of title VII of the Act (42 U.S.C. 11432, </w:t>
            </w:r>
            <w:r w:rsidRPr="00CD3D44">
              <w:rPr>
                <w:rFonts w:ascii="TimesNewRomanPS-ItalicMT" w:hAnsi="TimesNewRomanPS-ItalicMT" w:cs="TimesNewRomanPS-ItalicMT"/>
                <w:i/>
                <w:iCs/>
                <w:sz w:val="20"/>
                <w:szCs w:val="20"/>
                <w:highlight w:val="cyan"/>
              </w:rPr>
              <w:t>et seq.</w:t>
            </w:r>
            <w:r w:rsidRPr="00CD3D44">
              <w:rPr>
                <w:rFonts w:ascii="TimesNewRomanPSMT" w:hAnsi="TimesNewRomanPSMT" w:cs="TimesNewRomanPSMT"/>
                <w:sz w:val="20"/>
                <w:szCs w:val="20"/>
                <w:highlight w:val="cyan"/>
              </w:rPr>
              <w:t>).</w:t>
            </w:r>
          </w:p>
        </w:tc>
        <w:tc>
          <w:tcPr>
            <w:tcW w:w="630" w:type="dxa"/>
          </w:tcPr>
          <w:p w14:paraId="76FEDED3" w14:textId="77777777" w:rsidR="00B606A4" w:rsidRPr="00622711" w:rsidRDefault="00B606A4" w:rsidP="00537125">
            <w:pPr>
              <w:jc w:val="center"/>
              <w:rPr>
                <w:rFonts w:ascii="Times New Roman"/>
                <w:sz w:val="20"/>
              </w:rPr>
            </w:pPr>
          </w:p>
        </w:tc>
        <w:tc>
          <w:tcPr>
            <w:tcW w:w="1530" w:type="dxa"/>
          </w:tcPr>
          <w:p w14:paraId="2AB73486" w14:textId="77777777" w:rsidR="00B606A4" w:rsidRPr="00776D88" w:rsidRDefault="00CD3D44" w:rsidP="00537125">
            <w:pPr>
              <w:jc w:val="center"/>
              <w:rPr>
                <w:rFonts w:ascii="Times New Roman"/>
                <w:sz w:val="20"/>
                <w:highlight w:val="yellow"/>
              </w:rPr>
            </w:pPr>
            <w:r>
              <w:rPr>
                <w:rFonts w:ascii="Times New Roman"/>
                <w:sz w:val="20"/>
                <w:highlight w:val="yellow"/>
              </w:rPr>
              <w:t>Anne</w:t>
            </w:r>
          </w:p>
        </w:tc>
        <w:tc>
          <w:tcPr>
            <w:tcW w:w="720" w:type="dxa"/>
          </w:tcPr>
          <w:p w14:paraId="5166B37F" w14:textId="77777777" w:rsidR="00B606A4" w:rsidRPr="00622711" w:rsidRDefault="00B606A4" w:rsidP="00537125">
            <w:pPr>
              <w:jc w:val="center"/>
              <w:rPr>
                <w:rFonts w:ascii="Times New Roman"/>
                <w:sz w:val="20"/>
              </w:rPr>
            </w:pPr>
          </w:p>
        </w:tc>
        <w:tc>
          <w:tcPr>
            <w:tcW w:w="1350" w:type="dxa"/>
          </w:tcPr>
          <w:p w14:paraId="6C00FF87" w14:textId="77777777" w:rsidR="00B606A4" w:rsidRPr="00622711" w:rsidRDefault="00B606A4" w:rsidP="006673C2">
            <w:pPr>
              <w:jc w:val="center"/>
              <w:rPr>
                <w:rFonts w:ascii="Times New Roman"/>
                <w:sz w:val="20"/>
              </w:rPr>
            </w:pPr>
          </w:p>
        </w:tc>
      </w:tr>
      <w:tr w:rsidR="00B606A4" w:rsidRPr="00C60C1F" w14:paraId="3B18B7B2" w14:textId="77777777" w:rsidTr="00581270">
        <w:tc>
          <w:tcPr>
            <w:tcW w:w="6660" w:type="dxa"/>
          </w:tcPr>
          <w:p w14:paraId="2BDC8C54" w14:textId="77777777" w:rsidR="00CF114D" w:rsidRPr="00CD3D44" w:rsidRDefault="005F42FF" w:rsidP="00CF114D">
            <w:pPr>
              <w:pStyle w:val="ListParagraph"/>
              <w:numPr>
                <w:ilvl w:val="0"/>
                <w:numId w:val="22"/>
              </w:numPr>
              <w:autoSpaceDE w:val="0"/>
              <w:autoSpaceDN w:val="0"/>
              <w:adjustRightInd w:val="0"/>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 xml:space="preserve">Up to 1 point to </w:t>
            </w:r>
            <w:proofErr w:type="spellStart"/>
            <w:r w:rsidRPr="00CD3D44">
              <w:rPr>
                <w:rFonts w:ascii="TimesNewRomanPSMT" w:hAnsi="TimesNewRomanPSMT" w:cs="TimesNewRomanPSMT"/>
                <w:sz w:val="20"/>
                <w:szCs w:val="20"/>
                <w:highlight w:val="cyan"/>
              </w:rPr>
              <w:t>CoCs</w:t>
            </w:r>
            <w:proofErr w:type="spellEnd"/>
            <w:r w:rsidRPr="00CD3D44">
              <w:rPr>
                <w:rFonts w:ascii="TimesNewRomanPSMT" w:hAnsi="TimesNewRomanPSMT" w:cs="TimesNewRomanPSMT"/>
                <w:sz w:val="20"/>
                <w:szCs w:val="20"/>
                <w:highlight w:val="cyan"/>
              </w:rPr>
              <w:t xml:space="preserve"> that demonstrate the extent to which youth </w:t>
            </w:r>
          </w:p>
          <w:p w14:paraId="47004576" w14:textId="77777777" w:rsidR="00B606A4" w:rsidRPr="00CD3D44" w:rsidRDefault="005F42FF" w:rsidP="00CF114D">
            <w:pPr>
              <w:pStyle w:val="ListParagraph"/>
              <w:autoSpaceDE w:val="0"/>
              <w:autoSpaceDN w:val="0"/>
              <w:adjustRightInd w:val="0"/>
              <w:ind w:left="645"/>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service and education</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representatives and CoC representatives have participated in each other’s meetings over the</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past 12 months. Additionally, the CoC will describe how the CoC collaborates with the</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McKinney-Vento local education liaisons and State education coordinators.</w:t>
            </w:r>
          </w:p>
        </w:tc>
        <w:tc>
          <w:tcPr>
            <w:tcW w:w="630" w:type="dxa"/>
          </w:tcPr>
          <w:p w14:paraId="70759CA0" w14:textId="77777777" w:rsidR="00B606A4" w:rsidRPr="00622711" w:rsidRDefault="00B606A4" w:rsidP="00537125">
            <w:pPr>
              <w:jc w:val="center"/>
              <w:rPr>
                <w:rFonts w:ascii="Times New Roman"/>
                <w:sz w:val="20"/>
              </w:rPr>
            </w:pPr>
          </w:p>
        </w:tc>
        <w:tc>
          <w:tcPr>
            <w:tcW w:w="1530" w:type="dxa"/>
          </w:tcPr>
          <w:p w14:paraId="6B06A161" w14:textId="77777777" w:rsidR="00B606A4" w:rsidRPr="00776D88" w:rsidRDefault="00CD3D44" w:rsidP="00537125">
            <w:pPr>
              <w:jc w:val="center"/>
              <w:rPr>
                <w:rFonts w:ascii="Times New Roman"/>
                <w:sz w:val="20"/>
                <w:highlight w:val="yellow"/>
              </w:rPr>
            </w:pPr>
            <w:r>
              <w:rPr>
                <w:rFonts w:ascii="Times New Roman"/>
                <w:sz w:val="20"/>
                <w:highlight w:val="yellow"/>
              </w:rPr>
              <w:t>Anne</w:t>
            </w:r>
          </w:p>
        </w:tc>
        <w:tc>
          <w:tcPr>
            <w:tcW w:w="720" w:type="dxa"/>
          </w:tcPr>
          <w:p w14:paraId="7869FECB" w14:textId="77777777" w:rsidR="00B606A4" w:rsidRPr="00622711" w:rsidRDefault="00B606A4" w:rsidP="00537125">
            <w:pPr>
              <w:jc w:val="center"/>
              <w:rPr>
                <w:rFonts w:ascii="Times New Roman"/>
                <w:sz w:val="20"/>
              </w:rPr>
            </w:pPr>
          </w:p>
        </w:tc>
        <w:tc>
          <w:tcPr>
            <w:tcW w:w="1350" w:type="dxa"/>
          </w:tcPr>
          <w:p w14:paraId="1560BBFE" w14:textId="77777777" w:rsidR="00B606A4" w:rsidRPr="00622711" w:rsidRDefault="00B606A4" w:rsidP="006673C2">
            <w:pPr>
              <w:jc w:val="center"/>
              <w:rPr>
                <w:rFonts w:ascii="Times New Roman"/>
                <w:sz w:val="20"/>
              </w:rPr>
            </w:pPr>
          </w:p>
        </w:tc>
      </w:tr>
      <w:tr w:rsidR="00B606A4" w:rsidRPr="00C60C1F" w14:paraId="1B94E710" w14:textId="77777777" w:rsidTr="00581270">
        <w:tc>
          <w:tcPr>
            <w:tcW w:w="6660" w:type="dxa"/>
          </w:tcPr>
          <w:p w14:paraId="3E4BF8E3" w14:textId="77777777" w:rsidR="00B606A4" w:rsidRPr="00CD3D44" w:rsidRDefault="005F42FF" w:rsidP="00C60C1F">
            <w:pPr>
              <w:rPr>
                <w:rFonts w:ascii="Times New Roman"/>
                <w:sz w:val="20"/>
                <w:szCs w:val="20"/>
                <w:highlight w:val="cyan"/>
              </w:rPr>
            </w:pPr>
            <w:r w:rsidRPr="00CD3D44">
              <w:rPr>
                <w:rFonts w:ascii="TimesNewRomanPSMT" w:hAnsi="TimesNewRomanPSMT" w:cs="TimesNewRomanPSMT"/>
                <w:sz w:val="20"/>
                <w:szCs w:val="20"/>
                <w:highlight w:val="cyan"/>
              </w:rPr>
              <w:t xml:space="preserve">d. </w:t>
            </w:r>
            <w:r w:rsidRPr="00CD3D44">
              <w:rPr>
                <w:rFonts w:ascii="TimesNewRomanPS-ItalicMT" w:hAnsi="TimesNewRomanPS-ItalicMT" w:cs="TimesNewRomanPS-ItalicMT"/>
                <w:i/>
                <w:iCs/>
                <w:sz w:val="20"/>
                <w:szCs w:val="20"/>
                <w:highlight w:val="cyan"/>
              </w:rPr>
              <w:t xml:space="preserve">Ending Veteran Homelessness. </w:t>
            </w:r>
            <w:r w:rsidRPr="00CD3D44">
              <w:rPr>
                <w:rFonts w:ascii="TimesNewRomanPSMT" w:hAnsi="TimesNewRomanPSMT" w:cs="TimesNewRomanPSMT"/>
                <w:sz w:val="20"/>
                <w:szCs w:val="20"/>
                <w:highlight w:val="cyan"/>
              </w:rPr>
              <w:t>HUD will award up to 15 points</w:t>
            </w:r>
          </w:p>
        </w:tc>
        <w:tc>
          <w:tcPr>
            <w:tcW w:w="630" w:type="dxa"/>
          </w:tcPr>
          <w:p w14:paraId="0397F269" w14:textId="77777777" w:rsidR="00B606A4" w:rsidRPr="00622711" w:rsidRDefault="00B606A4" w:rsidP="00537125">
            <w:pPr>
              <w:jc w:val="center"/>
              <w:rPr>
                <w:rFonts w:ascii="Times New Roman"/>
                <w:sz w:val="20"/>
              </w:rPr>
            </w:pPr>
          </w:p>
        </w:tc>
        <w:tc>
          <w:tcPr>
            <w:tcW w:w="1530" w:type="dxa"/>
          </w:tcPr>
          <w:p w14:paraId="773B66BB" w14:textId="77777777" w:rsidR="00B606A4" w:rsidRPr="00776D88" w:rsidRDefault="00CD3D44" w:rsidP="00537125">
            <w:pPr>
              <w:jc w:val="center"/>
              <w:rPr>
                <w:rFonts w:ascii="Times New Roman"/>
                <w:sz w:val="20"/>
                <w:highlight w:val="yellow"/>
              </w:rPr>
            </w:pPr>
            <w:r>
              <w:rPr>
                <w:rFonts w:ascii="Times New Roman"/>
                <w:sz w:val="20"/>
                <w:highlight w:val="yellow"/>
              </w:rPr>
              <w:t>Anne</w:t>
            </w:r>
          </w:p>
        </w:tc>
        <w:tc>
          <w:tcPr>
            <w:tcW w:w="720" w:type="dxa"/>
          </w:tcPr>
          <w:p w14:paraId="3CE103CD" w14:textId="77777777" w:rsidR="00B606A4" w:rsidRPr="00622711" w:rsidRDefault="00B606A4" w:rsidP="00537125">
            <w:pPr>
              <w:jc w:val="center"/>
              <w:rPr>
                <w:rFonts w:ascii="Times New Roman"/>
                <w:sz w:val="20"/>
              </w:rPr>
            </w:pPr>
          </w:p>
        </w:tc>
        <w:tc>
          <w:tcPr>
            <w:tcW w:w="1350" w:type="dxa"/>
          </w:tcPr>
          <w:p w14:paraId="1F5BB0A8" w14:textId="77777777" w:rsidR="00B606A4" w:rsidRPr="00622711" w:rsidRDefault="00B606A4" w:rsidP="006673C2">
            <w:pPr>
              <w:jc w:val="center"/>
              <w:rPr>
                <w:rFonts w:ascii="Times New Roman"/>
                <w:sz w:val="20"/>
              </w:rPr>
            </w:pPr>
          </w:p>
        </w:tc>
      </w:tr>
      <w:tr w:rsidR="00B606A4" w:rsidRPr="00C60C1F" w14:paraId="5DEBB7EC" w14:textId="77777777" w:rsidTr="00581270">
        <w:tc>
          <w:tcPr>
            <w:tcW w:w="6660" w:type="dxa"/>
          </w:tcPr>
          <w:p w14:paraId="3A7115F9" w14:textId="77777777" w:rsidR="00CF114D" w:rsidRPr="00CD3D44" w:rsidRDefault="005F42FF" w:rsidP="00CF114D">
            <w:pPr>
              <w:pStyle w:val="ListParagraph"/>
              <w:numPr>
                <w:ilvl w:val="0"/>
                <w:numId w:val="23"/>
              </w:numPr>
              <w:autoSpaceDE w:val="0"/>
              <w:autoSpaceDN w:val="0"/>
              <w:adjustRightInd w:val="0"/>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 xml:space="preserve">Up to 8 points to </w:t>
            </w:r>
            <w:proofErr w:type="spellStart"/>
            <w:r w:rsidRPr="00CD3D44">
              <w:rPr>
                <w:rFonts w:ascii="TimesNewRomanPSMT" w:hAnsi="TimesNewRomanPSMT" w:cs="TimesNewRomanPSMT"/>
                <w:sz w:val="20"/>
                <w:szCs w:val="20"/>
                <w:highlight w:val="cyan"/>
              </w:rPr>
              <w:t>CoCs</w:t>
            </w:r>
            <w:proofErr w:type="spellEnd"/>
            <w:r w:rsidRPr="00CD3D44">
              <w:rPr>
                <w:rFonts w:ascii="TimesNewRomanPSMT" w:hAnsi="TimesNewRomanPSMT" w:cs="TimesNewRomanPSMT"/>
                <w:sz w:val="20"/>
                <w:szCs w:val="20"/>
                <w:highlight w:val="cyan"/>
              </w:rPr>
              <w:t xml:space="preserve"> that </w:t>
            </w:r>
            <w:r w:rsidR="00CF114D" w:rsidRPr="00CD3D44">
              <w:rPr>
                <w:rFonts w:ascii="TimesNewRomanPSMT" w:hAnsi="TimesNewRomanPSMT" w:cs="TimesNewRomanPSMT"/>
                <w:sz w:val="20"/>
                <w:szCs w:val="20"/>
                <w:highlight w:val="cyan"/>
              </w:rPr>
              <w:t xml:space="preserve">demonstrate the total number of </w:t>
            </w:r>
          </w:p>
          <w:p w14:paraId="1F64BE09" w14:textId="77777777" w:rsidR="00B606A4" w:rsidRPr="00CD3D44" w:rsidRDefault="005F42FF" w:rsidP="00CF114D">
            <w:pPr>
              <w:pStyle w:val="ListParagraph"/>
              <w:autoSpaceDE w:val="0"/>
              <w:autoSpaceDN w:val="0"/>
              <w:adjustRightInd w:val="0"/>
              <w:ind w:left="645"/>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homeless veterans in the CoC,</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as reported in the 2016 PIT count</w:t>
            </w:r>
          </w:p>
        </w:tc>
        <w:tc>
          <w:tcPr>
            <w:tcW w:w="630" w:type="dxa"/>
          </w:tcPr>
          <w:p w14:paraId="76DB2B2B" w14:textId="77777777" w:rsidR="00B606A4" w:rsidRPr="00622711" w:rsidRDefault="00B606A4" w:rsidP="00537125">
            <w:pPr>
              <w:jc w:val="center"/>
              <w:rPr>
                <w:rFonts w:ascii="Times New Roman"/>
                <w:sz w:val="20"/>
              </w:rPr>
            </w:pPr>
          </w:p>
        </w:tc>
        <w:tc>
          <w:tcPr>
            <w:tcW w:w="1530" w:type="dxa"/>
          </w:tcPr>
          <w:p w14:paraId="511410E6" w14:textId="77777777" w:rsidR="00B606A4" w:rsidRPr="00776D88" w:rsidRDefault="00CD3D44" w:rsidP="00537125">
            <w:pPr>
              <w:jc w:val="center"/>
              <w:rPr>
                <w:rFonts w:ascii="Times New Roman"/>
                <w:sz w:val="20"/>
                <w:highlight w:val="yellow"/>
              </w:rPr>
            </w:pPr>
            <w:r>
              <w:rPr>
                <w:rFonts w:ascii="Times New Roman"/>
                <w:sz w:val="20"/>
                <w:highlight w:val="yellow"/>
              </w:rPr>
              <w:t>Anne</w:t>
            </w:r>
          </w:p>
        </w:tc>
        <w:tc>
          <w:tcPr>
            <w:tcW w:w="720" w:type="dxa"/>
          </w:tcPr>
          <w:p w14:paraId="09D92033" w14:textId="77777777" w:rsidR="00B606A4" w:rsidRPr="00622711" w:rsidRDefault="00B606A4" w:rsidP="00537125">
            <w:pPr>
              <w:jc w:val="center"/>
              <w:rPr>
                <w:rFonts w:ascii="Times New Roman"/>
                <w:sz w:val="20"/>
              </w:rPr>
            </w:pPr>
          </w:p>
        </w:tc>
        <w:tc>
          <w:tcPr>
            <w:tcW w:w="1350" w:type="dxa"/>
          </w:tcPr>
          <w:p w14:paraId="69B4F36E" w14:textId="77777777" w:rsidR="00B606A4" w:rsidRPr="00622711" w:rsidRDefault="00B606A4" w:rsidP="006673C2">
            <w:pPr>
              <w:jc w:val="center"/>
              <w:rPr>
                <w:rFonts w:ascii="Times New Roman"/>
                <w:sz w:val="20"/>
              </w:rPr>
            </w:pPr>
          </w:p>
        </w:tc>
      </w:tr>
      <w:tr w:rsidR="00B606A4" w:rsidRPr="00C60C1F" w14:paraId="01A173F7" w14:textId="77777777" w:rsidTr="00581270">
        <w:tc>
          <w:tcPr>
            <w:tcW w:w="6660" w:type="dxa"/>
          </w:tcPr>
          <w:p w14:paraId="36FBC754" w14:textId="77777777" w:rsidR="00B606A4" w:rsidRPr="00CD3D44" w:rsidRDefault="005F42FF" w:rsidP="005F42FF">
            <w:pPr>
              <w:pStyle w:val="ListParagraph"/>
              <w:numPr>
                <w:ilvl w:val="0"/>
                <w:numId w:val="23"/>
              </w:numPr>
              <w:autoSpaceDE w:val="0"/>
              <w:autoSpaceDN w:val="0"/>
              <w:adjustRightInd w:val="0"/>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 xml:space="preserve">Up to 4 points to </w:t>
            </w:r>
            <w:proofErr w:type="spellStart"/>
            <w:r w:rsidRPr="00CD3D44">
              <w:rPr>
                <w:rFonts w:ascii="TimesNewRomanPSMT" w:hAnsi="TimesNewRomanPSMT" w:cs="TimesNewRomanPSMT"/>
                <w:sz w:val="20"/>
                <w:szCs w:val="20"/>
                <w:highlight w:val="cyan"/>
              </w:rPr>
              <w:t>CoCs</w:t>
            </w:r>
            <w:proofErr w:type="spellEnd"/>
            <w:r w:rsidRPr="00CD3D44">
              <w:rPr>
                <w:rFonts w:ascii="TimesNewRomanPSMT" w:hAnsi="TimesNewRomanPSMT" w:cs="TimesNewRomanPSMT"/>
                <w:sz w:val="20"/>
                <w:szCs w:val="20"/>
                <w:highlight w:val="cyan"/>
              </w:rPr>
              <w:t xml:space="preserve"> that demonstrate a 75 percent reduction in the total number of</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homeless veterans and unsheltered homeless veterans, as reported in the 2015 PIT count,</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compared to 2010</w:t>
            </w:r>
          </w:p>
        </w:tc>
        <w:tc>
          <w:tcPr>
            <w:tcW w:w="630" w:type="dxa"/>
          </w:tcPr>
          <w:p w14:paraId="741ABF40" w14:textId="77777777" w:rsidR="00B606A4" w:rsidRPr="00622711" w:rsidRDefault="00B606A4" w:rsidP="00537125">
            <w:pPr>
              <w:jc w:val="center"/>
              <w:rPr>
                <w:rFonts w:ascii="Times New Roman"/>
                <w:sz w:val="20"/>
              </w:rPr>
            </w:pPr>
          </w:p>
        </w:tc>
        <w:tc>
          <w:tcPr>
            <w:tcW w:w="1530" w:type="dxa"/>
          </w:tcPr>
          <w:p w14:paraId="4127DD01" w14:textId="77777777" w:rsidR="00B606A4" w:rsidRPr="00776D88" w:rsidRDefault="00CD3D44" w:rsidP="00537125">
            <w:pPr>
              <w:jc w:val="center"/>
              <w:rPr>
                <w:rFonts w:ascii="Times New Roman"/>
                <w:sz w:val="20"/>
                <w:highlight w:val="yellow"/>
              </w:rPr>
            </w:pPr>
            <w:r>
              <w:rPr>
                <w:rFonts w:ascii="Times New Roman"/>
                <w:sz w:val="20"/>
                <w:highlight w:val="yellow"/>
              </w:rPr>
              <w:t>Anne</w:t>
            </w:r>
          </w:p>
        </w:tc>
        <w:tc>
          <w:tcPr>
            <w:tcW w:w="720" w:type="dxa"/>
          </w:tcPr>
          <w:p w14:paraId="315658CA" w14:textId="77777777" w:rsidR="00B606A4" w:rsidRPr="00622711" w:rsidRDefault="00B606A4" w:rsidP="00537125">
            <w:pPr>
              <w:jc w:val="center"/>
              <w:rPr>
                <w:rFonts w:ascii="Times New Roman"/>
                <w:sz w:val="20"/>
              </w:rPr>
            </w:pPr>
          </w:p>
        </w:tc>
        <w:tc>
          <w:tcPr>
            <w:tcW w:w="1350" w:type="dxa"/>
          </w:tcPr>
          <w:p w14:paraId="589906A9" w14:textId="77777777" w:rsidR="00B606A4" w:rsidRPr="00622711" w:rsidRDefault="00B606A4" w:rsidP="006673C2">
            <w:pPr>
              <w:jc w:val="center"/>
              <w:rPr>
                <w:rFonts w:ascii="Times New Roman"/>
                <w:sz w:val="20"/>
              </w:rPr>
            </w:pPr>
          </w:p>
        </w:tc>
      </w:tr>
      <w:tr w:rsidR="00B606A4" w:rsidRPr="00C60C1F" w14:paraId="3CFA3918" w14:textId="77777777" w:rsidTr="00581270">
        <w:tc>
          <w:tcPr>
            <w:tcW w:w="6660" w:type="dxa"/>
          </w:tcPr>
          <w:p w14:paraId="29EA73CB" w14:textId="77777777" w:rsidR="00CF114D" w:rsidRPr="00CD3D44" w:rsidRDefault="005F42FF" w:rsidP="00CF114D">
            <w:pPr>
              <w:pStyle w:val="ListParagraph"/>
              <w:numPr>
                <w:ilvl w:val="0"/>
                <w:numId w:val="23"/>
              </w:numPr>
              <w:autoSpaceDE w:val="0"/>
              <w:autoSpaceDN w:val="0"/>
              <w:adjustRightInd w:val="0"/>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 xml:space="preserve">Up to 3 points to </w:t>
            </w:r>
            <w:proofErr w:type="spellStart"/>
            <w:r w:rsidRPr="00CD3D44">
              <w:rPr>
                <w:rFonts w:ascii="TimesNewRomanPSMT" w:hAnsi="TimesNewRomanPSMT" w:cs="TimesNewRomanPSMT"/>
                <w:sz w:val="20"/>
                <w:szCs w:val="20"/>
                <w:highlight w:val="cyan"/>
              </w:rPr>
              <w:t>CoCs</w:t>
            </w:r>
            <w:proofErr w:type="spellEnd"/>
            <w:r w:rsidRPr="00CD3D44">
              <w:rPr>
                <w:rFonts w:ascii="TimesNewRomanPSMT" w:hAnsi="TimesNewRomanPSMT" w:cs="TimesNewRomanPSMT"/>
                <w:sz w:val="20"/>
                <w:szCs w:val="20"/>
                <w:highlight w:val="cyan"/>
              </w:rPr>
              <w:t xml:space="preserve"> that demonstrate they identify, assesses, </w:t>
            </w:r>
          </w:p>
          <w:p w14:paraId="2268FAE8" w14:textId="77777777" w:rsidR="00B606A4" w:rsidRPr="00CD3D44" w:rsidRDefault="005F42FF" w:rsidP="00CF114D">
            <w:pPr>
              <w:pStyle w:val="ListParagraph"/>
              <w:autoSpaceDE w:val="0"/>
              <w:autoSpaceDN w:val="0"/>
              <w:adjustRightInd w:val="0"/>
              <w:ind w:left="645"/>
              <w:rPr>
                <w:rFonts w:ascii="TimesNewRomanPSMT" w:hAnsi="TimesNewRomanPSMT" w:cs="TimesNewRomanPSMT"/>
                <w:sz w:val="20"/>
                <w:szCs w:val="20"/>
                <w:highlight w:val="cyan"/>
              </w:rPr>
            </w:pPr>
            <w:r w:rsidRPr="00CD3D44">
              <w:rPr>
                <w:rFonts w:ascii="TimesNewRomanPSMT" w:hAnsi="TimesNewRomanPSMT" w:cs="TimesNewRomanPSMT"/>
                <w:sz w:val="20"/>
                <w:szCs w:val="20"/>
                <w:highlight w:val="cyan"/>
              </w:rPr>
              <w:t>and refers homeless</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veterans who are eligible for Veterans Affairs services and housing to appropriate resources</w:t>
            </w:r>
            <w:r w:rsidR="00CF114D" w:rsidRPr="00CD3D44">
              <w:rPr>
                <w:rFonts w:ascii="TimesNewRomanPSMT" w:hAnsi="TimesNewRomanPSMT" w:cs="TimesNewRomanPSMT"/>
                <w:sz w:val="20"/>
                <w:szCs w:val="20"/>
                <w:highlight w:val="cyan"/>
              </w:rPr>
              <w:t xml:space="preserve"> </w:t>
            </w:r>
            <w:r w:rsidRPr="00CD3D44">
              <w:rPr>
                <w:rFonts w:ascii="TimesNewRomanPSMT" w:hAnsi="TimesNewRomanPSMT" w:cs="TimesNewRomanPSMT"/>
                <w:sz w:val="20"/>
                <w:szCs w:val="20"/>
                <w:highlight w:val="cyan"/>
              </w:rPr>
              <w:t>such as HUD-VASH and SSVF.</w:t>
            </w:r>
          </w:p>
        </w:tc>
        <w:tc>
          <w:tcPr>
            <w:tcW w:w="630" w:type="dxa"/>
          </w:tcPr>
          <w:p w14:paraId="306E5230" w14:textId="77777777" w:rsidR="00B606A4" w:rsidRPr="00622711" w:rsidRDefault="00B606A4" w:rsidP="00537125">
            <w:pPr>
              <w:jc w:val="center"/>
              <w:rPr>
                <w:rFonts w:ascii="Times New Roman"/>
                <w:sz w:val="20"/>
              </w:rPr>
            </w:pPr>
          </w:p>
        </w:tc>
        <w:tc>
          <w:tcPr>
            <w:tcW w:w="1530" w:type="dxa"/>
          </w:tcPr>
          <w:p w14:paraId="1353CA9A" w14:textId="77777777" w:rsidR="00B606A4" w:rsidRPr="00776D88" w:rsidRDefault="00CD3D44" w:rsidP="00537125">
            <w:pPr>
              <w:jc w:val="center"/>
              <w:rPr>
                <w:rFonts w:ascii="Times New Roman"/>
                <w:sz w:val="20"/>
                <w:highlight w:val="yellow"/>
              </w:rPr>
            </w:pPr>
            <w:r>
              <w:rPr>
                <w:rFonts w:ascii="Times New Roman"/>
                <w:sz w:val="20"/>
                <w:highlight w:val="yellow"/>
              </w:rPr>
              <w:t>Anne</w:t>
            </w:r>
          </w:p>
        </w:tc>
        <w:tc>
          <w:tcPr>
            <w:tcW w:w="720" w:type="dxa"/>
          </w:tcPr>
          <w:p w14:paraId="109038E6" w14:textId="77777777" w:rsidR="00B606A4" w:rsidRPr="00622711" w:rsidRDefault="00B606A4" w:rsidP="00537125">
            <w:pPr>
              <w:jc w:val="center"/>
              <w:rPr>
                <w:rFonts w:ascii="Times New Roman"/>
                <w:sz w:val="20"/>
              </w:rPr>
            </w:pPr>
          </w:p>
        </w:tc>
        <w:tc>
          <w:tcPr>
            <w:tcW w:w="1350" w:type="dxa"/>
          </w:tcPr>
          <w:p w14:paraId="07E37B34" w14:textId="77777777" w:rsidR="00B606A4" w:rsidRPr="00622711" w:rsidRDefault="00B606A4" w:rsidP="006673C2">
            <w:pPr>
              <w:jc w:val="center"/>
              <w:rPr>
                <w:rFonts w:ascii="Times New Roman"/>
                <w:sz w:val="20"/>
              </w:rPr>
            </w:pPr>
          </w:p>
        </w:tc>
      </w:tr>
      <w:tr w:rsidR="00212683" w:rsidRPr="00C60C1F" w14:paraId="23E5D699" w14:textId="77777777" w:rsidTr="00581270">
        <w:tc>
          <w:tcPr>
            <w:tcW w:w="6660" w:type="dxa"/>
            <w:shd w:val="clear" w:color="auto" w:fill="D99594" w:themeFill="accent2" w:themeFillTint="99"/>
          </w:tcPr>
          <w:p w14:paraId="666D1C94" w14:textId="77777777" w:rsidR="00212683" w:rsidRPr="00CF114D" w:rsidRDefault="00212683" w:rsidP="00C60C1F">
            <w:pPr>
              <w:rPr>
                <w:sz w:val="20"/>
                <w:szCs w:val="20"/>
              </w:rPr>
            </w:pPr>
            <w:r w:rsidRPr="00CF114D">
              <w:rPr>
                <w:sz w:val="20"/>
                <w:szCs w:val="20"/>
              </w:rPr>
              <w:t>BONUS POINTS</w:t>
            </w:r>
          </w:p>
        </w:tc>
        <w:tc>
          <w:tcPr>
            <w:tcW w:w="630" w:type="dxa"/>
            <w:shd w:val="clear" w:color="auto" w:fill="D99594" w:themeFill="accent2" w:themeFillTint="99"/>
          </w:tcPr>
          <w:p w14:paraId="02EE4D9C" w14:textId="77777777" w:rsidR="00212683" w:rsidRPr="00581270" w:rsidRDefault="00212683" w:rsidP="003D443B">
            <w:pPr>
              <w:jc w:val="center"/>
              <w:rPr>
                <w:b/>
                <w:sz w:val="24"/>
                <w:szCs w:val="24"/>
              </w:rPr>
            </w:pPr>
            <w:r w:rsidRPr="00581270">
              <w:rPr>
                <w:b/>
                <w:sz w:val="24"/>
                <w:szCs w:val="24"/>
              </w:rPr>
              <w:t>CA</w:t>
            </w:r>
          </w:p>
        </w:tc>
        <w:tc>
          <w:tcPr>
            <w:tcW w:w="1530" w:type="dxa"/>
            <w:shd w:val="clear" w:color="auto" w:fill="D99594" w:themeFill="accent2" w:themeFillTint="99"/>
          </w:tcPr>
          <w:p w14:paraId="0B24061C" w14:textId="77777777" w:rsidR="00212683" w:rsidRPr="00581270" w:rsidRDefault="00212683" w:rsidP="003D443B">
            <w:pPr>
              <w:jc w:val="center"/>
              <w:rPr>
                <w:b/>
                <w:sz w:val="24"/>
                <w:szCs w:val="24"/>
              </w:rPr>
            </w:pPr>
            <w:r w:rsidRPr="00581270">
              <w:rPr>
                <w:b/>
                <w:sz w:val="24"/>
                <w:szCs w:val="24"/>
              </w:rPr>
              <w:t>Consultants</w:t>
            </w:r>
          </w:p>
        </w:tc>
        <w:tc>
          <w:tcPr>
            <w:tcW w:w="720" w:type="dxa"/>
            <w:shd w:val="clear" w:color="auto" w:fill="D99594" w:themeFill="accent2" w:themeFillTint="99"/>
          </w:tcPr>
          <w:p w14:paraId="000B08A4" w14:textId="77777777" w:rsidR="00212683" w:rsidRPr="00581270" w:rsidRDefault="00212683" w:rsidP="003D443B">
            <w:pPr>
              <w:jc w:val="center"/>
              <w:rPr>
                <w:b/>
                <w:sz w:val="24"/>
                <w:szCs w:val="24"/>
              </w:rPr>
            </w:pPr>
            <w:r w:rsidRPr="00581270">
              <w:rPr>
                <w:b/>
                <w:sz w:val="24"/>
                <w:szCs w:val="24"/>
              </w:rPr>
              <w:t>CoC</w:t>
            </w:r>
          </w:p>
        </w:tc>
        <w:tc>
          <w:tcPr>
            <w:tcW w:w="1350" w:type="dxa"/>
            <w:shd w:val="clear" w:color="auto" w:fill="D99594" w:themeFill="accent2" w:themeFillTint="99"/>
          </w:tcPr>
          <w:p w14:paraId="425722FB" w14:textId="77777777" w:rsidR="00212683" w:rsidRPr="00581270" w:rsidRDefault="00212683" w:rsidP="003D443B">
            <w:pPr>
              <w:jc w:val="center"/>
              <w:rPr>
                <w:b/>
                <w:sz w:val="24"/>
                <w:szCs w:val="24"/>
              </w:rPr>
            </w:pPr>
            <w:r w:rsidRPr="00581270">
              <w:rPr>
                <w:b/>
                <w:sz w:val="24"/>
                <w:szCs w:val="24"/>
              </w:rPr>
              <w:t>Committee</w:t>
            </w:r>
          </w:p>
        </w:tc>
      </w:tr>
      <w:tr w:rsidR="00212683" w:rsidRPr="00C60C1F" w14:paraId="2028D241" w14:textId="77777777" w:rsidTr="00581270">
        <w:tc>
          <w:tcPr>
            <w:tcW w:w="6660" w:type="dxa"/>
          </w:tcPr>
          <w:p w14:paraId="43667CE1" w14:textId="77777777" w:rsidR="00CF114D" w:rsidRPr="00CF114D" w:rsidRDefault="00CF114D" w:rsidP="00CF114D">
            <w:pPr>
              <w:autoSpaceDE w:val="0"/>
              <w:autoSpaceDN w:val="0"/>
              <w:adjustRightInd w:val="0"/>
              <w:rPr>
                <w:rFonts w:ascii="TimesNewRomanPSMT" w:hAnsi="TimesNewRomanPSMT" w:cs="TimesNewRomanPSMT"/>
                <w:sz w:val="20"/>
                <w:szCs w:val="20"/>
              </w:rPr>
            </w:pPr>
            <w:r w:rsidRPr="00CF114D">
              <w:rPr>
                <w:rFonts w:ascii="TimesNewRomanPSMT" w:hAnsi="TimesNewRomanPSMT" w:cs="TimesNewRomanPSMT"/>
                <w:sz w:val="20"/>
                <w:szCs w:val="20"/>
              </w:rPr>
              <w:t>In support of certain inter-agency initiatives, HUD awards bonus points to p</w:t>
            </w:r>
            <w:r>
              <w:rPr>
                <w:rFonts w:ascii="TimesNewRomanPSMT" w:hAnsi="TimesNewRomanPSMT" w:cs="TimesNewRomanPSMT"/>
                <w:sz w:val="20"/>
                <w:szCs w:val="20"/>
              </w:rPr>
              <w:t xml:space="preserve">rojects where the preponderance </w:t>
            </w:r>
            <w:r w:rsidRPr="00CF114D">
              <w:rPr>
                <w:rFonts w:ascii="TimesNewRomanPSMT" w:hAnsi="TimesNewRomanPSMT" w:cs="TimesNewRomanPSMT"/>
                <w:sz w:val="20"/>
                <w:szCs w:val="20"/>
              </w:rPr>
              <w:t>of work will occur in a designated zone, community or region. These points will be awarded only if the</w:t>
            </w:r>
          </w:p>
          <w:p w14:paraId="4DD1A0A6" w14:textId="77777777" w:rsidR="00CF114D" w:rsidRPr="00CF114D" w:rsidRDefault="00CF114D" w:rsidP="00CF114D">
            <w:pPr>
              <w:autoSpaceDE w:val="0"/>
              <w:autoSpaceDN w:val="0"/>
              <w:adjustRightInd w:val="0"/>
              <w:rPr>
                <w:rFonts w:ascii="TimesNewRomanPSMT" w:hAnsi="TimesNewRomanPSMT" w:cs="TimesNewRomanPSMT"/>
                <w:sz w:val="20"/>
                <w:szCs w:val="20"/>
              </w:rPr>
            </w:pPr>
            <w:r w:rsidRPr="00CF114D">
              <w:rPr>
                <w:rFonts w:ascii="TimesNewRomanPSMT" w:hAnsi="TimesNewRomanPSMT" w:cs="TimesNewRomanPSMT"/>
                <w:sz w:val="20"/>
                <w:szCs w:val="20"/>
              </w:rPr>
              <w:t>application otherwise meets o</w:t>
            </w:r>
            <w:r>
              <w:rPr>
                <w:rFonts w:ascii="TimesNewRomanPSMT" w:hAnsi="TimesNewRomanPSMT" w:cs="TimesNewRomanPSMT"/>
                <w:sz w:val="20"/>
                <w:szCs w:val="20"/>
              </w:rPr>
              <w:t xml:space="preserve">r exceeds the Program's minimum </w:t>
            </w:r>
            <w:r w:rsidRPr="00CF114D">
              <w:rPr>
                <w:rFonts w:ascii="TimesNewRomanPSMT" w:hAnsi="TimesNewRomanPSMT" w:cs="TimesNewRomanPSMT"/>
                <w:sz w:val="20"/>
                <w:szCs w:val="20"/>
              </w:rPr>
              <w:t>fundable score</w:t>
            </w:r>
            <w:r>
              <w:rPr>
                <w:rFonts w:ascii="TimesNewRomanPSMT" w:hAnsi="TimesNewRomanPSMT" w:cs="TimesNewRomanPSMT"/>
                <w:sz w:val="20"/>
                <w:szCs w:val="20"/>
              </w:rPr>
              <w:t xml:space="preserve"> </w:t>
            </w:r>
            <w:r>
              <w:rPr>
                <w:rFonts w:ascii="TimesNewRomanPSMT" w:hAnsi="TimesNewRomanPSMT" w:cs="TimesNewRomanPSMT"/>
                <w:sz w:val="20"/>
                <w:szCs w:val="20"/>
              </w:rPr>
              <w:lastRenderedPageBreak/>
              <w:t xml:space="preserve">based on the rating factors of </w:t>
            </w:r>
            <w:r w:rsidRPr="00CF114D">
              <w:rPr>
                <w:rFonts w:ascii="TimesNewRomanPSMT" w:hAnsi="TimesNewRomanPSMT" w:cs="TimesNewRomanPSMT"/>
                <w:sz w:val="20"/>
                <w:szCs w:val="20"/>
              </w:rPr>
              <w:t>this NOFA.</w:t>
            </w:r>
          </w:p>
          <w:p w14:paraId="7E0CE322" w14:textId="77777777" w:rsidR="00212683" w:rsidRPr="00CF114D" w:rsidRDefault="00CF114D" w:rsidP="00CF114D">
            <w:pPr>
              <w:autoSpaceDE w:val="0"/>
              <w:autoSpaceDN w:val="0"/>
              <w:adjustRightInd w:val="0"/>
              <w:rPr>
                <w:rFonts w:ascii="TimesNewRomanPSMT" w:hAnsi="TimesNewRomanPSMT" w:cs="TimesNewRomanPSMT"/>
                <w:sz w:val="20"/>
                <w:szCs w:val="20"/>
              </w:rPr>
            </w:pPr>
            <w:r w:rsidRPr="00CF114D">
              <w:rPr>
                <w:rFonts w:ascii="TimesNewRomanPSMT" w:hAnsi="TimesNewRomanPSMT" w:cs="TimesNewRomanPSMT"/>
                <w:sz w:val="20"/>
                <w:szCs w:val="20"/>
              </w:rPr>
              <w:t xml:space="preserve">The bonus points from the FY 2016 General Section NOFA do not apply to the FY </w:t>
            </w:r>
            <w:r>
              <w:rPr>
                <w:rFonts w:ascii="TimesNewRomanPSMT" w:hAnsi="TimesNewRomanPSMT" w:cs="TimesNewRomanPSMT"/>
                <w:sz w:val="20"/>
                <w:szCs w:val="20"/>
              </w:rPr>
              <w:t xml:space="preserve">2016 CoC </w:t>
            </w:r>
            <w:r w:rsidRPr="00CF114D">
              <w:rPr>
                <w:rFonts w:ascii="TimesNewRomanPSMT" w:hAnsi="TimesNewRomanPSMT" w:cs="TimesNewRomanPSMT"/>
                <w:sz w:val="20"/>
                <w:szCs w:val="20"/>
              </w:rPr>
              <w:t>Program Competition.</w:t>
            </w:r>
          </w:p>
        </w:tc>
        <w:tc>
          <w:tcPr>
            <w:tcW w:w="630" w:type="dxa"/>
          </w:tcPr>
          <w:p w14:paraId="4F727F98" w14:textId="77777777" w:rsidR="00212683" w:rsidRPr="00622711" w:rsidRDefault="00212683" w:rsidP="00537125">
            <w:pPr>
              <w:jc w:val="center"/>
              <w:rPr>
                <w:rFonts w:ascii="Times New Roman"/>
                <w:sz w:val="20"/>
              </w:rPr>
            </w:pPr>
          </w:p>
        </w:tc>
        <w:tc>
          <w:tcPr>
            <w:tcW w:w="1530" w:type="dxa"/>
          </w:tcPr>
          <w:p w14:paraId="7695C7F3" w14:textId="77777777" w:rsidR="00212683" w:rsidRPr="00622711" w:rsidRDefault="00830BAE" w:rsidP="00537125">
            <w:pPr>
              <w:jc w:val="center"/>
              <w:rPr>
                <w:rFonts w:ascii="Times New Roman"/>
                <w:sz w:val="20"/>
              </w:rPr>
            </w:pPr>
            <w:r>
              <w:rPr>
                <w:rFonts w:ascii="Times New Roman"/>
                <w:sz w:val="20"/>
              </w:rPr>
              <w:t>N/A</w:t>
            </w:r>
            <w:bookmarkStart w:id="0" w:name="_GoBack"/>
            <w:bookmarkEnd w:id="0"/>
          </w:p>
        </w:tc>
        <w:tc>
          <w:tcPr>
            <w:tcW w:w="720" w:type="dxa"/>
          </w:tcPr>
          <w:p w14:paraId="6B24BE65" w14:textId="77777777" w:rsidR="00212683" w:rsidRPr="00622711" w:rsidRDefault="00212683" w:rsidP="005F42FF">
            <w:pPr>
              <w:rPr>
                <w:rFonts w:ascii="Times New Roman"/>
                <w:sz w:val="20"/>
              </w:rPr>
            </w:pPr>
          </w:p>
        </w:tc>
        <w:tc>
          <w:tcPr>
            <w:tcW w:w="1350" w:type="dxa"/>
          </w:tcPr>
          <w:p w14:paraId="7BA9121D" w14:textId="77777777" w:rsidR="00212683" w:rsidRPr="00622711" w:rsidRDefault="00212683" w:rsidP="006673C2">
            <w:pPr>
              <w:jc w:val="center"/>
              <w:rPr>
                <w:rFonts w:ascii="Times New Roman"/>
                <w:sz w:val="20"/>
              </w:rPr>
            </w:pPr>
          </w:p>
        </w:tc>
      </w:tr>
      <w:tr w:rsidR="00212683" w:rsidRPr="00C60C1F" w14:paraId="72CCDDA0" w14:textId="77777777" w:rsidTr="00581270">
        <w:tc>
          <w:tcPr>
            <w:tcW w:w="6660" w:type="dxa"/>
            <w:shd w:val="clear" w:color="auto" w:fill="D99594" w:themeFill="accent2" w:themeFillTint="99"/>
          </w:tcPr>
          <w:p w14:paraId="5916DADB" w14:textId="77777777" w:rsidR="00212683" w:rsidRDefault="00212683" w:rsidP="006472A4">
            <w:r>
              <w:lastRenderedPageBreak/>
              <w:t>OTHER TASKS and Considerations</w:t>
            </w:r>
          </w:p>
        </w:tc>
        <w:tc>
          <w:tcPr>
            <w:tcW w:w="630" w:type="dxa"/>
            <w:shd w:val="clear" w:color="auto" w:fill="D99594" w:themeFill="accent2" w:themeFillTint="99"/>
          </w:tcPr>
          <w:p w14:paraId="5CD6FC31" w14:textId="77777777" w:rsidR="00212683" w:rsidRPr="00537125" w:rsidRDefault="00212683" w:rsidP="00537125">
            <w:pPr>
              <w:jc w:val="center"/>
              <w:rPr>
                <w:rFonts w:ascii="Times New Roman"/>
              </w:rPr>
            </w:pPr>
          </w:p>
        </w:tc>
        <w:tc>
          <w:tcPr>
            <w:tcW w:w="1530" w:type="dxa"/>
            <w:shd w:val="clear" w:color="auto" w:fill="D99594" w:themeFill="accent2" w:themeFillTint="99"/>
          </w:tcPr>
          <w:p w14:paraId="3E95CE93" w14:textId="77777777" w:rsidR="00212683" w:rsidRPr="00537125" w:rsidRDefault="00212683" w:rsidP="00537125">
            <w:pPr>
              <w:jc w:val="center"/>
              <w:rPr>
                <w:rFonts w:ascii="Times New Roman"/>
              </w:rPr>
            </w:pPr>
          </w:p>
        </w:tc>
        <w:tc>
          <w:tcPr>
            <w:tcW w:w="720" w:type="dxa"/>
            <w:shd w:val="clear" w:color="auto" w:fill="D99594" w:themeFill="accent2" w:themeFillTint="99"/>
          </w:tcPr>
          <w:p w14:paraId="1422B106" w14:textId="77777777" w:rsidR="00212683" w:rsidRPr="00537125" w:rsidRDefault="00212683" w:rsidP="00537125">
            <w:pPr>
              <w:jc w:val="center"/>
              <w:rPr>
                <w:rFonts w:ascii="Times New Roman"/>
              </w:rPr>
            </w:pPr>
          </w:p>
        </w:tc>
        <w:tc>
          <w:tcPr>
            <w:tcW w:w="1350" w:type="dxa"/>
            <w:shd w:val="clear" w:color="auto" w:fill="D99594" w:themeFill="accent2" w:themeFillTint="99"/>
          </w:tcPr>
          <w:p w14:paraId="11EE01EF" w14:textId="77777777" w:rsidR="00212683" w:rsidRDefault="00212683" w:rsidP="006673C2">
            <w:pPr>
              <w:jc w:val="center"/>
              <w:rPr>
                <w:rFonts w:ascii="Times New Roman"/>
              </w:rPr>
            </w:pPr>
          </w:p>
        </w:tc>
      </w:tr>
      <w:tr w:rsidR="00212683" w:rsidRPr="00C60C1F" w14:paraId="6556A5DB" w14:textId="77777777" w:rsidTr="00581270">
        <w:tc>
          <w:tcPr>
            <w:tcW w:w="6660" w:type="dxa"/>
          </w:tcPr>
          <w:p w14:paraId="385F3EFB" w14:textId="77777777" w:rsidR="00212683" w:rsidRPr="00622711" w:rsidRDefault="00212683" w:rsidP="003779EA">
            <w:pPr>
              <w:pStyle w:val="ListParagraph"/>
              <w:numPr>
                <w:ilvl w:val="0"/>
                <w:numId w:val="3"/>
              </w:numPr>
              <w:rPr>
                <w:sz w:val="20"/>
              </w:rPr>
            </w:pPr>
            <w:r w:rsidRPr="00622711">
              <w:rPr>
                <w:sz w:val="20"/>
              </w:rPr>
              <w:t>Be sure to review the CoC interim rule published on 7-30-12.</w:t>
            </w:r>
          </w:p>
          <w:p w14:paraId="390006C4" w14:textId="77777777" w:rsidR="00212683" w:rsidRPr="00622711" w:rsidRDefault="00212683" w:rsidP="003779EA">
            <w:pPr>
              <w:pStyle w:val="ListParagraph"/>
              <w:numPr>
                <w:ilvl w:val="0"/>
                <w:numId w:val="3"/>
              </w:numPr>
              <w:rPr>
                <w:sz w:val="20"/>
              </w:rPr>
            </w:pPr>
            <w:r w:rsidRPr="00622711">
              <w:rPr>
                <w:sz w:val="20"/>
              </w:rPr>
              <w:t>Be prepared to discuss progress on the Coordinated Entry/Assessment</w:t>
            </w:r>
          </w:p>
          <w:p w14:paraId="5110500A" w14:textId="77777777" w:rsidR="00212683" w:rsidRPr="00622711" w:rsidRDefault="00212683" w:rsidP="003779EA">
            <w:pPr>
              <w:pStyle w:val="ListParagraph"/>
              <w:numPr>
                <w:ilvl w:val="0"/>
                <w:numId w:val="3"/>
              </w:numPr>
              <w:rPr>
                <w:sz w:val="20"/>
              </w:rPr>
            </w:pPr>
            <w:r w:rsidRPr="00622711">
              <w:rPr>
                <w:sz w:val="20"/>
              </w:rPr>
              <w:t>Be prepared to discuss the work toward developing a Board</w:t>
            </w:r>
          </w:p>
          <w:p w14:paraId="79DB6A5E" w14:textId="77777777" w:rsidR="00212683" w:rsidRPr="00622711" w:rsidRDefault="00212683" w:rsidP="003779EA">
            <w:pPr>
              <w:pStyle w:val="ListParagraph"/>
              <w:numPr>
                <w:ilvl w:val="0"/>
                <w:numId w:val="3"/>
              </w:numPr>
              <w:rPr>
                <w:sz w:val="20"/>
              </w:rPr>
            </w:pPr>
            <w:r w:rsidRPr="00622711">
              <w:rPr>
                <w:sz w:val="20"/>
              </w:rPr>
              <w:t>Be prepared to discuss the interaction with ESG funded programs and how the CoC monitors them</w:t>
            </w:r>
          </w:p>
          <w:p w14:paraId="718C9713" w14:textId="77777777" w:rsidR="00212683" w:rsidRPr="00622711" w:rsidRDefault="00212683" w:rsidP="003779EA">
            <w:pPr>
              <w:pStyle w:val="ListParagraph"/>
              <w:numPr>
                <w:ilvl w:val="0"/>
                <w:numId w:val="3"/>
              </w:numPr>
              <w:rPr>
                <w:sz w:val="20"/>
              </w:rPr>
            </w:pPr>
            <w:r w:rsidRPr="00622711">
              <w:rPr>
                <w:sz w:val="20"/>
              </w:rPr>
              <w:t>Other:</w:t>
            </w:r>
          </w:p>
        </w:tc>
        <w:tc>
          <w:tcPr>
            <w:tcW w:w="630" w:type="dxa"/>
          </w:tcPr>
          <w:p w14:paraId="398CA8B7" w14:textId="77777777" w:rsidR="00212683" w:rsidRPr="00622711" w:rsidRDefault="00212683" w:rsidP="00537125">
            <w:pPr>
              <w:jc w:val="center"/>
              <w:rPr>
                <w:rFonts w:ascii="Times New Roman"/>
                <w:sz w:val="20"/>
              </w:rPr>
            </w:pPr>
            <w:r w:rsidRPr="00622711">
              <w:rPr>
                <w:rFonts w:ascii="Times New Roman"/>
                <w:sz w:val="20"/>
              </w:rPr>
              <w:t>X</w:t>
            </w:r>
          </w:p>
        </w:tc>
        <w:tc>
          <w:tcPr>
            <w:tcW w:w="1530" w:type="dxa"/>
          </w:tcPr>
          <w:p w14:paraId="64315536" w14:textId="77777777" w:rsidR="00212683" w:rsidRPr="00622711" w:rsidRDefault="00212683" w:rsidP="00537125">
            <w:pPr>
              <w:jc w:val="center"/>
              <w:rPr>
                <w:rFonts w:ascii="Times New Roman"/>
                <w:sz w:val="20"/>
              </w:rPr>
            </w:pPr>
          </w:p>
        </w:tc>
        <w:tc>
          <w:tcPr>
            <w:tcW w:w="720" w:type="dxa"/>
          </w:tcPr>
          <w:p w14:paraId="539EE590" w14:textId="77777777" w:rsidR="00212683" w:rsidRPr="00622711" w:rsidRDefault="00212683" w:rsidP="00537125">
            <w:pPr>
              <w:jc w:val="center"/>
              <w:rPr>
                <w:rFonts w:ascii="Times New Roman"/>
                <w:sz w:val="20"/>
              </w:rPr>
            </w:pPr>
            <w:r w:rsidRPr="00622711">
              <w:rPr>
                <w:rFonts w:ascii="Times New Roman"/>
                <w:sz w:val="20"/>
              </w:rPr>
              <w:t>X</w:t>
            </w:r>
          </w:p>
        </w:tc>
        <w:tc>
          <w:tcPr>
            <w:tcW w:w="1350" w:type="dxa"/>
          </w:tcPr>
          <w:p w14:paraId="11D9A333" w14:textId="77777777" w:rsidR="00212683" w:rsidRPr="00622711" w:rsidRDefault="00212683" w:rsidP="006673C2">
            <w:pPr>
              <w:jc w:val="center"/>
              <w:rPr>
                <w:rFonts w:ascii="Times New Roman"/>
                <w:sz w:val="20"/>
              </w:rPr>
            </w:pPr>
          </w:p>
        </w:tc>
      </w:tr>
    </w:tbl>
    <w:p w14:paraId="4825A397" w14:textId="77777777" w:rsidR="00537125" w:rsidRDefault="00537125" w:rsidP="009B2486">
      <w:pPr>
        <w:tabs>
          <w:tab w:val="left" w:pos="2955"/>
        </w:tabs>
        <w:rPr>
          <w:rFonts w:ascii="Times New Roman"/>
        </w:rPr>
      </w:pPr>
    </w:p>
    <w:p w14:paraId="6701BA4F" w14:textId="77777777" w:rsidR="004E510B" w:rsidRPr="00B34956" w:rsidRDefault="004E510B" w:rsidP="004E510B">
      <w:pPr>
        <w:jc w:val="center"/>
        <w:rPr>
          <w:rFonts w:ascii="Times New Roman"/>
          <w:b/>
        </w:rPr>
      </w:pPr>
      <w:r w:rsidRPr="00B34956">
        <w:rPr>
          <w:rFonts w:ascii="Times New Roman"/>
          <w:b/>
        </w:rPr>
        <w:t>HUD NOFA TIMELINE</w:t>
      </w:r>
    </w:p>
    <w:p w14:paraId="48555C77" w14:textId="77777777" w:rsidR="004E510B" w:rsidRDefault="004E510B" w:rsidP="004E510B">
      <w:pPr>
        <w:jc w:val="center"/>
        <w:rPr>
          <w:rFonts w:ascii="Times New Roman"/>
        </w:rPr>
      </w:pPr>
    </w:p>
    <w:p w14:paraId="0DC90D10" w14:textId="77777777" w:rsidR="004E510B" w:rsidRDefault="004E510B" w:rsidP="004E510B">
      <w:pPr>
        <w:rPr>
          <w:rFonts w:ascii="Times New Roman"/>
        </w:rPr>
      </w:pPr>
      <w:r>
        <w:rPr>
          <w:rFonts w:ascii="Times New Roman"/>
        </w:rPr>
        <w:tab/>
        <w:t>Activity</w:t>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t>Timeline</w:t>
      </w:r>
    </w:p>
    <w:p w14:paraId="7506CB64" w14:textId="77777777" w:rsidR="004E510B" w:rsidRDefault="002E0798" w:rsidP="004E510B">
      <w:pPr>
        <w:rPr>
          <w:rFonts w:ascii="Times New Roman"/>
        </w:rPr>
      </w:pPr>
      <w:r>
        <w:rPr>
          <w:rFonts w:ascii="Times New Roman"/>
        </w:rPr>
        <w:pict w14:anchorId="0F189E7E">
          <v:rect id="_x0000_i1025" style="width:0;height:1.5pt" o:hralign="center" o:hrstd="t" o:hr="t" fillcolor="#a0a0a0" stroked="f"/>
        </w:pict>
      </w:r>
    </w:p>
    <w:p w14:paraId="20B5BE74" w14:textId="77777777" w:rsidR="00BA42EE" w:rsidRPr="00BA42EE" w:rsidRDefault="004E510B" w:rsidP="004E510B">
      <w:pPr>
        <w:pStyle w:val="ListParagraph"/>
        <w:numPr>
          <w:ilvl w:val="0"/>
          <w:numId w:val="18"/>
        </w:numPr>
        <w:rPr>
          <w:rFonts w:ascii="Calibri" w:hAnsi="Calibri"/>
          <w:b/>
        </w:rPr>
      </w:pPr>
      <w:r w:rsidRPr="004E510B">
        <w:rPr>
          <w:rFonts w:ascii="Times New Roman"/>
        </w:rPr>
        <w:t>HUD Releases the GIW to Collaborative Applicants</w:t>
      </w:r>
      <w:r w:rsidRPr="004E510B">
        <w:rPr>
          <w:rFonts w:ascii="Times New Roman"/>
        </w:rPr>
        <w:tab/>
      </w:r>
      <w:r w:rsidRPr="004E510B">
        <w:rPr>
          <w:rFonts w:ascii="Times New Roman"/>
        </w:rPr>
        <w:tab/>
        <w:t xml:space="preserve">2-3 weeks </w:t>
      </w:r>
      <w:r w:rsidR="00BA42EE">
        <w:rPr>
          <w:rFonts w:ascii="Times New Roman"/>
        </w:rPr>
        <w:t>to submit</w:t>
      </w:r>
    </w:p>
    <w:p w14:paraId="77583D2E" w14:textId="77777777" w:rsidR="00BA42EE" w:rsidRPr="004E510B" w:rsidRDefault="004E510B" w:rsidP="00BA42EE">
      <w:pPr>
        <w:pStyle w:val="ListParagraph"/>
        <w:numPr>
          <w:ilvl w:val="0"/>
          <w:numId w:val="18"/>
        </w:numPr>
        <w:rPr>
          <w:rFonts w:ascii="Calibri" w:hAnsi="Calibri"/>
          <w:b/>
        </w:rPr>
      </w:pPr>
      <w:r w:rsidRPr="004E510B">
        <w:rPr>
          <w:rFonts w:ascii="Times New Roman"/>
        </w:rPr>
        <w:t>HUD Announces the Registration is Open</w:t>
      </w:r>
      <w:r w:rsidRPr="004E510B">
        <w:rPr>
          <w:rFonts w:ascii="Times New Roman"/>
        </w:rPr>
        <w:tab/>
      </w:r>
      <w:r w:rsidRPr="004E510B">
        <w:rPr>
          <w:rFonts w:ascii="Times New Roman"/>
        </w:rPr>
        <w:tab/>
      </w:r>
      <w:r w:rsidR="00BA42EE">
        <w:rPr>
          <w:rFonts w:ascii="Times New Roman"/>
        </w:rPr>
        <w:tab/>
        <w:t>30 days</w:t>
      </w:r>
    </w:p>
    <w:p w14:paraId="0F301423" w14:textId="77777777" w:rsidR="004E510B" w:rsidRPr="004E510B" w:rsidRDefault="004E510B" w:rsidP="004E510B">
      <w:pPr>
        <w:pStyle w:val="ListParagraph"/>
        <w:numPr>
          <w:ilvl w:val="0"/>
          <w:numId w:val="18"/>
        </w:numPr>
        <w:rPr>
          <w:rFonts w:ascii="Calibri" w:hAnsi="Calibri"/>
          <w:b/>
        </w:rPr>
      </w:pPr>
      <w:r>
        <w:rPr>
          <w:rFonts w:ascii="Times New Roman"/>
        </w:rPr>
        <w:t>HUD Opens the NOFA Competition</w:t>
      </w:r>
      <w:r w:rsidR="00BA42EE">
        <w:rPr>
          <w:rFonts w:ascii="Times New Roman"/>
        </w:rPr>
        <w:tab/>
      </w:r>
      <w:r w:rsidR="00BA42EE">
        <w:rPr>
          <w:rFonts w:ascii="Times New Roman"/>
        </w:rPr>
        <w:tab/>
      </w:r>
      <w:r w:rsidR="00BA42EE">
        <w:rPr>
          <w:rFonts w:ascii="Times New Roman"/>
        </w:rPr>
        <w:tab/>
      </w:r>
      <w:r w:rsidR="00BA42EE">
        <w:rPr>
          <w:rFonts w:ascii="Times New Roman"/>
        </w:rPr>
        <w:tab/>
        <w:t>60 days</w:t>
      </w:r>
    </w:p>
    <w:p w14:paraId="42813118" w14:textId="77777777" w:rsidR="00BA42EE" w:rsidRPr="00BA42EE" w:rsidRDefault="00BA42EE" w:rsidP="004E510B">
      <w:pPr>
        <w:pStyle w:val="ListParagraph"/>
        <w:numPr>
          <w:ilvl w:val="0"/>
          <w:numId w:val="18"/>
        </w:numPr>
        <w:rPr>
          <w:rFonts w:ascii="Calibri" w:hAnsi="Calibri"/>
          <w:b/>
        </w:rPr>
      </w:pPr>
      <w:r>
        <w:rPr>
          <w:rFonts w:ascii="Times New Roman"/>
        </w:rPr>
        <w:t>Announcement to Projects/Stakeholders of the NOFA</w:t>
      </w:r>
      <w:r>
        <w:rPr>
          <w:rFonts w:ascii="Times New Roman"/>
        </w:rPr>
        <w:tab/>
      </w:r>
      <w:r>
        <w:rPr>
          <w:rFonts w:ascii="Times New Roman"/>
        </w:rPr>
        <w:tab/>
        <w:t>1-2 business days</w:t>
      </w:r>
    </w:p>
    <w:p w14:paraId="71455044" w14:textId="77777777" w:rsidR="004E510B" w:rsidRPr="004E510B" w:rsidRDefault="004E510B" w:rsidP="004E510B">
      <w:pPr>
        <w:pStyle w:val="ListParagraph"/>
        <w:numPr>
          <w:ilvl w:val="0"/>
          <w:numId w:val="18"/>
        </w:numPr>
        <w:rPr>
          <w:rFonts w:ascii="Calibri" w:hAnsi="Calibri"/>
          <w:b/>
        </w:rPr>
      </w:pPr>
      <w:r>
        <w:rPr>
          <w:rFonts w:ascii="Times New Roman"/>
        </w:rPr>
        <w:t xml:space="preserve">New and Renewal Projects must submit applications </w:t>
      </w:r>
      <w:r w:rsidR="00BA42EE">
        <w:rPr>
          <w:rFonts w:ascii="Times New Roman"/>
        </w:rPr>
        <w:tab/>
      </w:r>
      <w:r w:rsidR="00BA42EE">
        <w:rPr>
          <w:rFonts w:ascii="Times New Roman"/>
        </w:rPr>
        <w:tab/>
        <w:t>30 days before full application deadline</w:t>
      </w:r>
    </w:p>
    <w:p w14:paraId="0B2525C9" w14:textId="77777777" w:rsidR="004E510B" w:rsidRPr="004E510B" w:rsidRDefault="004E510B" w:rsidP="004E510B">
      <w:pPr>
        <w:pStyle w:val="ListParagraph"/>
        <w:numPr>
          <w:ilvl w:val="0"/>
          <w:numId w:val="18"/>
        </w:numPr>
        <w:rPr>
          <w:rFonts w:ascii="Calibri" w:hAnsi="Calibri"/>
          <w:b/>
        </w:rPr>
      </w:pPr>
      <w:r>
        <w:rPr>
          <w:rFonts w:cstheme="minorHAnsi"/>
        </w:rPr>
        <w:t>Projects must be ranked and scored</w:t>
      </w:r>
      <w:r w:rsidR="00BA42EE">
        <w:rPr>
          <w:rFonts w:cstheme="minorHAnsi"/>
        </w:rPr>
        <w:tab/>
      </w:r>
      <w:r w:rsidR="00BA42EE">
        <w:rPr>
          <w:rFonts w:cstheme="minorHAnsi"/>
        </w:rPr>
        <w:tab/>
      </w:r>
      <w:r w:rsidR="00BA42EE">
        <w:rPr>
          <w:rFonts w:cstheme="minorHAnsi"/>
        </w:rPr>
        <w:tab/>
      </w:r>
      <w:r w:rsidR="00BA42EE">
        <w:rPr>
          <w:rFonts w:cstheme="minorHAnsi"/>
        </w:rPr>
        <w:tab/>
        <w:t>Ideally, 30 days, but at least 15 days</w:t>
      </w:r>
    </w:p>
    <w:p w14:paraId="2B2744D8" w14:textId="77777777" w:rsidR="004E510B" w:rsidRPr="00BA42EE" w:rsidRDefault="004E510B" w:rsidP="00BA42EE">
      <w:pPr>
        <w:ind w:left="6465"/>
        <w:rPr>
          <w:rFonts w:cstheme="minorHAnsi"/>
        </w:rPr>
      </w:pPr>
      <w:r w:rsidRPr="00BA42EE">
        <w:rPr>
          <w:rFonts w:cstheme="minorHAnsi"/>
        </w:rPr>
        <w:t xml:space="preserve">Applicants must be notified in writing at </w:t>
      </w:r>
      <w:r w:rsidR="00BA42EE">
        <w:rPr>
          <w:rFonts w:cstheme="minorHAnsi"/>
        </w:rPr>
        <w:t xml:space="preserve">      </w:t>
      </w:r>
      <w:r w:rsidRPr="00BA42EE">
        <w:rPr>
          <w:rFonts w:cstheme="minorHAnsi"/>
        </w:rPr>
        <w:t>least 15 days prior to the</w:t>
      </w:r>
      <w:r w:rsidR="00BA42EE" w:rsidRPr="00BA42EE">
        <w:rPr>
          <w:rFonts w:cstheme="minorHAnsi"/>
        </w:rPr>
        <w:t xml:space="preserve"> a</w:t>
      </w:r>
      <w:r w:rsidRPr="00BA42EE">
        <w:rPr>
          <w:rFonts w:cstheme="minorHAnsi"/>
        </w:rPr>
        <w:t xml:space="preserve">pplication deadline whether their application will be </w:t>
      </w:r>
    </w:p>
    <w:p w14:paraId="1C88EE7C" w14:textId="77777777" w:rsidR="004E510B" w:rsidRDefault="004E510B" w:rsidP="00BA42EE">
      <w:pPr>
        <w:ind w:left="5760" w:firstLine="720"/>
        <w:rPr>
          <w:rFonts w:cstheme="minorHAnsi"/>
        </w:rPr>
      </w:pPr>
      <w:r>
        <w:rPr>
          <w:rFonts w:cstheme="minorHAnsi"/>
        </w:rPr>
        <w:t>Submitted as part of the CoC Application.</w:t>
      </w:r>
      <w:r w:rsidRPr="004E510B">
        <w:rPr>
          <w:rFonts w:cstheme="minorHAnsi"/>
        </w:rPr>
        <w:t xml:space="preserve"> </w:t>
      </w:r>
    </w:p>
    <w:p w14:paraId="4C31C09F" w14:textId="77777777" w:rsidR="00BA42EE" w:rsidRPr="00BA42EE" w:rsidRDefault="004E510B" w:rsidP="004E510B">
      <w:pPr>
        <w:pStyle w:val="ListParagraph"/>
        <w:numPr>
          <w:ilvl w:val="0"/>
          <w:numId w:val="18"/>
        </w:numPr>
        <w:rPr>
          <w:rFonts w:ascii="Calibri" w:hAnsi="Calibri"/>
          <w:b/>
        </w:rPr>
      </w:pPr>
      <w:r>
        <w:rPr>
          <w:rFonts w:cstheme="minorHAnsi"/>
        </w:rPr>
        <w:t>T</w:t>
      </w:r>
      <w:r w:rsidR="00BA42EE">
        <w:rPr>
          <w:rFonts w:cstheme="minorHAnsi"/>
        </w:rPr>
        <w:t>h</w:t>
      </w:r>
      <w:r>
        <w:rPr>
          <w:rFonts w:cstheme="minorHAnsi"/>
        </w:rPr>
        <w:t>e CoC must publicly post the CoC application</w:t>
      </w:r>
      <w:r w:rsidR="00BA42EE">
        <w:rPr>
          <w:rFonts w:cstheme="minorHAnsi"/>
        </w:rPr>
        <w:t>, project</w:t>
      </w:r>
      <w:r w:rsidR="00BA42EE">
        <w:rPr>
          <w:rFonts w:cstheme="minorHAnsi"/>
        </w:rPr>
        <w:tab/>
      </w:r>
      <w:r w:rsidR="00BA42EE">
        <w:rPr>
          <w:rFonts w:cstheme="minorHAnsi"/>
        </w:rPr>
        <w:tab/>
        <w:t>Immediately after it is submitted to HUD.</w:t>
      </w:r>
    </w:p>
    <w:p w14:paraId="2BB768BB" w14:textId="77777777" w:rsidR="004E510B" w:rsidRPr="00BA42EE" w:rsidRDefault="00BA42EE" w:rsidP="00BA42EE">
      <w:pPr>
        <w:ind w:left="360"/>
        <w:rPr>
          <w:rFonts w:ascii="Calibri" w:hAnsi="Calibri"/>
          <w:b/>
        </w:rPr>
      </w:pPr>
      <w:r>
        <w:rPr>
          <w:rFonts w:cstheme="minorHAnsi"/>
        </w:rPr>
        <w:t xml:space="preserve">       </w:t>
      </w:r>
      <w:r w:rsidRPr="00BA42EE">
        <w:rPr>
          <w:rFonts w:cstheme="minorHAnsi"/>
        </w:rPr>
        <w:t xml:space="preserve">Priority listing and </w:t>
      </w:r>
      <w:r w:rsidR="004E510B" w:rsidRPr="00BA42EE">
        <w:rPr>
          <w:rFonts w:cstheme="minorHAnsi"/>
        </w:rPr>
        <w:t>notify</w:t>
      </w:r>
      <w:r w:rsidRPr="00BA42EE">
        <w:rPr>
          <w:rFonts w:cstheme="minorHAnsi"/>
        </w:rPr>
        <w:t xml:space="preserve"> k</w:t>
      </w:r>
      <w:r w:rsidR="004E510B" w:rsidRPr="00BA42EE">
        <w:rPr>
          <w:rFonts w:cstheme="minorHAnsi"/>
        </w:rPr>
        <w:t>ey stakeholders of its availability.</w:t>
      </w:r>
    </w:p>
    <w:p w14:paraId="3639A706" w14:textId="77777777" w:rsidR="006673C2" w:rsidRPr="006673C2" w:rsidRDefault="006673C2" w:rsidP="006673C2">
      <w:pPr>
        <w:ind w:left="360"/>
        <w:rPr>
          <w:rFonts w:ascii="Calibri" w:hAnsi="Calibri"/>
          <w:b/>
        </w:rPr>
      </w:pPr>
    </w:p>
    <w:p w14:paraId="5CC969E5" w14:textId="77777777" w:rsidR="006673C2" w:rsidRPr="006673C2" w:rsidRDefault="006673C2" w:rsidP="006673C2">
      <w:pPr>
        <w:ind w:left="360"/>
        <w:rPr>
          <w:rFonts w:ascii="Calibri" w:hAnsi="Calibri"/>
          <w:b/>
        </w:rPr>
      </w:pPr>
    </w:p>
    <w:p w14:paraId="35F0526E" w14:textId="77777777" w:rsidR="00537125" w:rsidRPr="006673C2" w:rsidRDefault="003779EA" w:rsidP="006673C2">
      <w:pPr>
        <w:ind w:left="360"/>
        <w:jc w:val="center"/>
        <w:rPr>
          <w:rFonts w:ascii="Calibri" w:hAnsi="Calibri"/>
          <w:b/>
        </w:rPr>
      </w:pPr>
      <w:r w:rsidRPr="006673C2">
        <w:rPr>
          <w:rFonts w:ascii="Times New Roman"/>
        </w:rPr>
        <w:br w:type="page"/>
      </w:r>
      <w:r w:rsidR="00537125" w:rsidRPr="006673C2">
        <w:rPr>
          <w:rFonts w:ascii="Calibri" w:hAnsi="Calibri"/>
          <w:b/>
        </w:rPr>
        <w:lastRenderedPageBreak/>
        <w:t>Collaborative Applicant Summary of Duties</w:t>
      </w:r>
    </w:p>
    <w:p w14:paraId="5F971070" w14:textId="77777777" w:rsidR="00537125" w:rsidRPr="009C7034" w:rsidRDefault="00537125" w:rsidP="00537125">
      <w:pPr>
        <w:contextualSpacing/>
        <w:jc w:val="both"/>
        <w:rPr>
          <w:rFonts w:ascii="Calibri" w:hAnsi="Calibri"/>
        </w:rPr>
      </w:pPr>
    </w:p>
    <w:p w14:paraId="415E87A8" w14:textId="77777777" w:rsidR="00537125" w:rsidRPr="009C7034" w:rsidRDefault="00537125" w:rsidP="00537125">
      <w:pPr>
        <w:contextualSpacing/>
        <w:jc w:val="both"/>
        <w:rPr>
          <w:rFonts w:ascii="Calibri" w:hAnsi="Calibri"/>
        </w:rPr>
      </w:pPr>
      <w:r w:rsidRPr="009C7034">
        <w:rPr>
          <w:rFonts w:ascii="Calibri" w:hAnsi="Calibri"/>
        </w:rPr>
        <w:t xml:space="preserve">A “Continuum of Care” designates one particular applicant to be a “collaborative applicant.” The collaborative applicant is the only entity that can apply for a grant from HUD on behalf of the Continuum that the collaborative applicant represents. </w:t>
      </w:r>
    </w:p>
    <w:p w14:paraId="6287123E" w14:textId="77777777" w:rsidR="00537125" w:rsidRPr="009C7034" w:rsidRDefault="00537125" w:rsidP="00537125">
      <w:pPr>
        <w:contextualSpacing/>
        <w:jc w:val="both"/>
        <w:rPr>
          <w:rFonts w:ascii="Calibri" w:hAnsi="Calibri"/>
        </w:rPr>
      </w:pPr>
    </w:p>
    <w:p w14:paraId="72D3C909" w14:textId="77777777" w:rsidR="00537125" w:rsidRPr="009C7034" w:rsidRDefault="00537125" w:rsidP="00537125">
      <w:pPr>
        <w:pStyle w:val="Default"/>
        <w:contextualSpacing/>
        <w:jc w:val="both"/>
        <w:rPr>
          <w:color w:val="auto"/>
          <w:sz w:val="22"/>
          <w:szCs w:val="22"/>
        </w:rPr>
      </w:pPr>
      <w:r w:rsidRPr="009C7034">
        <w:rPr>
          <w:b/>
          <w:bCs/>
          <w:i/>
          <w:iCs/>
          <w:color w:val="auto"/>
          <w:sz w:val="22"/>
          <w:szCs w:val="22"/>
        </w:rPr>
        <w:t xml:space="preserve">Collaborative applicant </w:t>
      </w:r>
      <w:r w:rsidRPr="009C7034">
        <w:rPr>
          <w:color w:val="auto"/>
          <w:sz w:val="22"/>
          <w:szCs w:val="22"/>
        </w:rPr>
        <w:t xml:space="preserve">is defined to mean an eligible applicant that has been designated by the Continuum of Care to apply for a grant for Continuum of Care planning funds on behalf of the Continuum.  </w:t>
      </w:r>
      <w:r>
        <w:rPr>
          <w:color w:val="auto"/>
          <w:sz w:val="22"/>
          <w:szCs w:val="22"/>
        </w:rPr>
        <w:t>T</w:t>
      </w:r>
      <w:r w:rsidRPr="009C7034">
        <w:rPr>
          <w:color w:val="auto"/>
          <w:sz w:val="22"/>
          <w:szCs w:val="22"/>
        </w:rPr>
        <w:t xml:space="preserve">he collaborative applicant applies for a grant to carry out the planning activities on behalf of the Continuum of Care. </w:t>
      </w:r>
    </w:p>
    <w:p w14:paraId="41D4496B" w14:textId="77777777" w:rsidR="00537125" w:rsidRDefault="00537125" w:rsidP="00537125">
      <w:pPr>
        <w:pStyle w:val="Default"/>
        <w:contextualSpacing/>
        <w:jc w:val="both"/>
        <w:rPr>
          <w:color w:val="auto"/>
          <w:sz w:val="22"/>
          <w:szCs w:val="22"/>
        </w:rPr>
      </w:pPr>
    </w:p>
    <w:p w14:paraId="08115E1F" w14:textId="77777777" w:rsidR="00537125" w:rsidRPr="009C7034" w:rsidRDefault="00537125" w:rsidP="00537125">
      <w:pPr>
        <w:pStyle w:val="Default"/>
        <w:contextualSpacing/>
        <w:jc w:val="both"/>
        <w:rPr>
          <w:color w:val="auto"/>
          <w:sz w:val="22"/>
          <w:szCs w:val="22"/>
        </w:rPr>
      </w:pPr>
      <w:r w:rsidRPr="009C7034">
        <w:rPr>
          <w:color w:val="auto"/>
          <w:sz w:val="22"/>
          <w:szCs w:val="22"/>
        </w:rPr>
        <w:t xml:space="preserve">HUD’s interim rule provides for the duties and functions of the collaborative applicant found in section 401 of the McKinney-Vento Act to be designated to the Continuum of Care, with the exception of applying to HUD for grant funds. HUD chose this approach because the Continuum might not be a legal entity, and therefore cannot enter into enforceable contractual agreements, but is the appropriate body for establishing and implementing decisions that affect the entire geographic area covered by the Continuum, including decisions related to funding. This approach allows the Continuum to retain its duties related to planning and prioritizing need (otherwise designated by statute to the collaborative applicant), while the authority to sign a grant agreement with HUD is designated to an eligible applicant that can enter into a contractual agreement. All of the duties assigned to the Continuum are based on the comparable duties of section 402(f) of the McKinney-Vento Act. </w:t>
      </w:r>
    </w:p>
    <w:p w14:paraId="1D549358" w14:textId="77777777" w:rsidR="00537125" w:rsidRPr="009C7034" w:rsidRDefault="00537125" w:rsidP="00537125">
      <w:pPr>
        <w:pStyle w:val="Default"/>
        <w:contextualSpacing/>
        <w:jc w:val="both"/>
        <w:rPr>
          <w:color w:val="auto"/>
          <w:sz w:val="22"/>
          <w:szCs w:val="22"/>
        </w:rPr>
      </w:pPr>
    </w:p>
    <w:p w14:paraId="50A566C4" w14:textId="77777777" w:rsidR="00537125" w:rsidRPr="00A60D6B" w:rsidRDefault="00537125" w:rsidP="00537125">
      <w:pPr>
        <w:pStyle w:val="Default"/>
        <w:contextualSpacing/>
        <w:jc w:val="both"/>
        <w:rPr>
          <w:b/>
          <w:color w:val="auto"/>
          <w:sz w:val="22"/>
          <w:szCs w:val="22"/>
        </w:rPr>
      </w:pPr>
      <w:r w:rsidRPr="009C7034">
        <w:rPr>
          <w:b/>
          <w:bCs/>
          <w:i/>
          <w:iCs/>
          <w:color w:val="auto"/>
          <w:sz w:val="22"/>
          <w:szCs w:val="22"/>
        </w:rPr>
        <w:t>Preparing an application for funds</w:t>
      </w:r>
      <w:r w:rsidRPr="009C7034">
        <w:rPr>
          <w:i/>
          <w:iCs/>
          <w:color w:val="auto"/>
          <w:sz w:val="22"/>
          <w:szCs w:val="22"/>
        </w:rPr>
        <w:t xml:space="preserve">. </w:t>
      </w:r>
      <w:r w:rsidRPr="009C7034">
        <w:rPr>
          <w:color w:val="auto"/>
          <w:sz w:val="22"/>
          <w:szCs w:val="22"/>
        </w:rPr>
        <w:t xml:space="preserve">A major function of the Continuum of Care is preparing and overseeing an application for funds under this part. This section of the interim rule establishes the duties of the Continuum of Care related to the preparation of the application. </w:t>
      </w:r>
      <w:r w:rsidRPr="00A60D6B">
        <w:rPr>
          <w:b/>
          <w:color w:val="auto"/>
          <w:sz w:val="22"/>
          <w:szCs w:val="22"/>
        </w:rPr>
        <w:t xml:space="preserve">This section of the interim rule establishes that the Continuum is responsible for designing, operating, and following a collaborative process for the development of applications, as well as approving the submission of applications, in response to a NOFA published by HUD. </w:t>
      </w:r>
    </w:p>
    <w:p w14:paraId="74645833" w14:textId="77777777" w:rsidR="00537125" w:rsidRDefault="00537125" w:rsidP="00537125">
      <w:pPr>
        <w:pStyle w:val="Default"/>
        <w:contextualSpacing/>
        <w:jc w:val="both"/>
        <w:rPr>
          <w:color w:val="auto"/>
          <w:sz w:val="22"/>
          <w:szCs w:val="22"/>
        </w:rPr>
      </w:pPr>
    </w:p>
    <w:p w14:paraId="4898850D" w14:textId="77777777" w:rsidR="00537125" w:rsidRPr="009C7034" w:rsidRDefault="00537125" w:rsidP="00537125">
      <w:pPr>
        <w:pStyle w:val="Default"/>
        <w:contextualSpacing/>
        <w:jc w:val="both"/>
        <w:rPr>
          <w:color w:val="auto"/>
          <w:sz w:val="22"/>
          <w:szCs w:val="22"/>
        </w:rPr>
      </w:pPr>
      <w:r w:rsidRPr="009C7034">
        <w:rPr>
          <w:color w:val="auto"/>
          <w:sz w:val="22"/>
          <w:szCs w:val="22"/>
        </w:rPr>
        <w:t xml:space="preserve">The Continuum must also establish priorities for funding projects within the geographic area and determine the number of applications being submitted for funding. </w:t>
      </w:r>
      <w:r w:rsidRPr="00A60D6B">
        <w:rPr>
          <w:b/>
          <w:color w:val="auto"/>
          <w:sz w:val="22"/>
          <w:szCs w:val="22"/>
        </w:rPr>
        <w:t>The collaborative applicant will always be the only applicant that can apply for Continuum of Care planning costs.</w:t>
      </w:r>
      <w:r w:rsidRPr="009C7034">
        <w:rPr>
          <w:color w:val="auto"/>
          <w:sz w:val="22"/>
          <w:szCs w:val="22"/>
        </w:rPr>
        <w:t xml:space="preserve"> Whether the Continuum of Care submits the application or designates an eligible applicant to submit the application for funding, </w:t>
      </w:r>
      <w:r w:rsidRPr="00A60D6B">
        <w:rPr>
          <w:b/>
          <w:color w:val="auto"/>
          <w:sz w:val="22"/>
          <w:szCs w:val="22"/>
        </w:rPr>
        <w:t>the Continuum of Care retains all of its duties.</w:t>
      </w:r>
      <w:r w:rsidRPr="009C7034">
        <w:rPr>
          <w:color w:val="auto"/>
          <w:sz w:val="22"/>
          <w:szCs w:val="22"/>
        </w:rPr>
        <w:t xml:space="preserve"> </w:t>
      </w:r>
    </w:p>
    <w:p w14:paraId="1E352C8D" w14:textId="77777777" w:rsidR="00537125" w:rsidRPr="009C7034" w:rsidRDefault="00537125" w:rsidP="00537125">
      <w:pPr>
        <w:pStyle w:val="Default"/>
        <w:contextualSpacing/>
        <w:jc w:val="both"/>
        <w:rPr>
          <w:color w:val="auto"/>
          <w:sz w:val="22"/>
          <w:szCs w:val="22"/>
        </w:rPr>
      </w:pPr>
    </w:p>
    <w:p w14:paraId="78FAD51E" w14:textId="77777777" w:rsidR="00537125" w:rsidRPr="009C7034" w:rsidRDefault="00537125" w:rsidP="00537125">
      <w:pPr>
        <w:pStyle w:val="Default"/>
        <w:contextualSpacing/>
        <w:jc w:val="both"/>
        <w:rPr>
          <w:color w:val="auto"/>
          <w:sz w:val="22"/>
          <w:szCs w:val="22"/>
        </w:rPr>
      </w:pPr>
      <w:r>
        <w:rPr>
          <w:b/>
          <w:color w:val="auto"/>
          <w:sz w:val="22"/>
          <w:szCs w:val="22"/>
        </w:rPr>
        <w:t xml:space="preserve">The Continuum must select one eligible applicant to be the collaborative applicant. That </w:t>
      </w:r>
      <w:r w:rsidRPr="00A60D6B">
        <w:rPr>
          <w:b/>
          <w:color w:val="auto"/>
          <w:sz w:val="22"/>
          <w:szCs w:val="22"/>
        </w:rPr>
        <w:t xml:space="preserve">applicant will collect and combine the required application information from all of the other eligible applicants and for all projects within the geographic area that the Continuum has designated. </w:t>
      </w:r>
      <w:r w:rsidRPr="009C7034">
        <w:rPr>
          <w:color w:val="auto"/>
          <w:sz w:val="22"/>
          <w:szCs w:val="22"/>
        </w:rPr>
        <w:t xml:space="preserve">If only one application is submitted by the collaborative applicant, the collaborative applicant will collect and combine the required application information from all projects within the geographic area that the Continuum has designated for funding. </w:t>
      </w:r>
    </w:p>
    <w:p w14:paraId="49CECD12" w14:textId="77777777" w:rsidR="00537125" w:rsidRPr="009C7034" w:rsidRDefault="00537125" w:rsidP="00537125">
      <w:pPr>
        <w:pStyle w:val="Default"/>
        <w:contextualSpacing/>
        <w:jc w:val="both"/>
        <w:rPr>
          <w:color w:val="auto"/>
          <w:sz w:val="22"/>
          <w:szCs w:val="22"/>
        </w:rPr>
      </w:pPr>
    </w:p>
    <w:p w14:paraId="1D9DF80B" w14:textId="77777777" w:rsidR="00537125" w:rsidRPr="009C7034" w:rsidRDefault="00537125" w:rsidP="00537125">
      <w:pPr>
        <w:pStyle w:val="Default"/>
        <w:contextualSpacing/>
        <w:jc w:val="both"/>
        <w:rPr>
          <w:color w:val="auto"/>
          <w:sz w:val="22"/>
          <w:szCs w:val="22"/>
        </w:rPr>
      </w:pPr>
      <w:r w:rsidRPr="009C7034">
        <w:rPr>
          <w:b/>
          <w:bCs/>
          <w:color w:val="auto"/>
          <w:sz w:val="22"/>
          <w:szCs w:val="22"/>
        </w:rPr>
        <w:t>§ 578.9 Preparing an application for funds</w:t>
      </w:r>
      <w:r w:rsidRPr="009C7034">
        <w:rPr>
          <w:color w:val="auto"/>
          <w:sz w:val="22"/>
          <w:szCs w:val="22"/>
        </w:rPr>
        <w:t xml:space="preserve">. </w:t>
      </w:r>
    </w:p>
    <w:p w14:paraId="504182EE" w14:textId="77777777" w:rsidR="00537125" w:rsidRPr="009C7034" w:rsidRDefault="00537125" w:rsidP="00537125">
      <w:pPr>
        <w:pStyle w:val="Default"/>
        <w:contextualSpacing/>
        <w:jc w:val="both"/>
        <w:rPr>
          <w:color w:val="auto"/>
          <w:sz w:val="22"/>
          <w:szCs w:val="22"/>
        </w:rPr>
      </w:pPr>
      <w:r w:rsidRPr="009C7034">
        <w:rPr>
          <w:color w:val="auto"/>
          <w:sz w:val="22"/>
          <w:szCs w:val="22"/>
        </w:rPr>
        <w:t xml:space="preserve">(a) The Continuum must: </w:t>
      </w:r>
    </w:p>
    <w:p w14:paraId="7C48C27E" w14:textId="77777777" w:rsidR="00537125" w:rsidRPr="009C7034" w:rsidRDefault="00537125" w:rsidP="00537125">
      <w:pPr>
        <w:pStyle w:val="Default"/>
        <w:numPr>
          <w:ilvl w:val="0"/>
          <w:numId w:val="15"/>
        </w:numPr>
        <w:contextualSpacing/>
        <w:jc w:val="both"/>
        <w:rPr>
          <w:color w:val="auto"/>
          <w:sz w:val="22"/>
          <w:szCs w:val="22"/>
        </w:rPr>
      </w:pPr>
      <w:r w:rsidRPr="009C7034">
        <w:rPr>
          <w:color w:val="auto"/>
          <w:sz w:val="22"/>
          <w:szCs w:val="22"/>
        </w:rPr>
        <w:t xml:space="preserve">(1) Design, operate, and follow a collaborative process for the development of applications and approve the submission of applications in response to a NOFA published by HUD under § 578.19 of this subpart; </w:t>
      </w:r>
    </w:p>
    <w:p w14:paraId="0E5A5A68" w14:textId="77777777" w:rsidR="00537125" w:rsidRPr="009C7034" w:rsidRDefault="00537125" w:rsidP="00537125">
      <w:pPr>
        <w:pStyle w:val="Default"/>
        <w:numPr>
          <w:ilvl w:val="0"/>
          <w:numId w:val="15"/>
        </w:numPr>
        <w:contextualSpacing/>
        <w:jc w:val="both"/>
        <w:rPr>
          <w:color w:val="auto"/>
          <w:sz w:val="22"/>
          <w:szCs w:val="22"/>
        </w:rPr>
      </w:pPr>
      <w:r w:rsidRPr="009C7034">
        <w:rPr>
          <w:color w:val="auto"/>
          <w:sz w:val="22"/>
          <w:szCs w:val="22"/>
        </w:rPr>
        <w:t xml:space="preserve">(2) Establish priorities for funding projects in the geographic area; </w:t>
      </w:r>
    </w:p>
    <w:p w14:paraId="3B4AFA5C" w14:textId="77777777" w:rsidR="00537125" w:rsidRPr="009C7034" w:rsidRDefault="00537125" w:rsidP="00537125">
      <w:pPr>
        <w:pStyle w:val="Default"/>
        <w:numPr>
          <w:ilvl w:val="0"/>
          <w:numId w:val="15"/>
        </w:numPr>
        <w:contextualSpacing/>
        <w:jc w:val="both"/>
        <w:rPr>
          <w:color w:val="auto"/>
          <w:sz w:val="22"/>
          <w:szCs w:val="22"/>
        </w:rPr>
      </w:pPr>
      <w:r w:rsidRPr="009C7034">
        <w:rPr>
          <w:color w:val="auto"/>
          <w:sz w:val="22"/>
          <w:szCs w:val="22"/>
        </w:rPr>
        <w:t xml:space="preserve">(3) Determine if one application for funding will be submitted for all projects within the geographic area or if more than one application will be submitted for the projects within the geographic area; </w:t>
      </w:r>
    </w:p>
    <w:p w14:paraId="46736633" w14:textId="77777777" w:rsidR="00537125" w:rsidRPr="009C7034" w:rsidRDefault="00537125" w:rsidP="00537125">
      <w:pPr>
        <w:pStyle w:val="Default"/>
        <w:numPr>
          <w:ilvl w:val="1"/>
          <w:numId w:val="15"/>
        </w:numPr>
        <w:contextualSpacing/>
        <w:jc w:val="both"/>
        <w:rPr>
          <w:color w:val="auto"/>
          <w:sz w:val="22"/>
          <w:szCs w:val="22"/>
        </w:rPr>
      </w:pPr>
      <w:r w:rsidRPr="009C7034">
        <w:rPr>
          <w:color w:val="auto"/>
          <w:sz w:val="22"/>
          <w:szCs w:val="22"/>
        </w:rPr>
        <w:t xml:space="preserve">(i) If more than one application will be submitted, designate an eligible applicant to be the collaborative applicant that will collect and combine the required application information from all applicants and for all projects </w:t>
      </w:r>
      <w:r w:rsidRPr="009C7034">
        <w:rPr>
          <w:color w:val="auto"/>
          <w:sz w:val="22"/>
          <w:szCs w:val="22"/>
        </w:rPr>
        <w:lastRenderedPageBreak/>
        <w:t xml:space="preserve">within the geographic area that the Continuum has selected funding. The collaborative applicant will also apply for Continuum of Care planning activities. If the Continuum is an eligible applicant, it may designate itself; </w:t>
      </w:r>
    </w:p>
    <w:p w14:paraId="54249701" w14:textId="77777777" w:rsidR="00537125" w:rsidRPr="009C7034" w:rsidRDefault="00537125" w:rsidP="00537125">
      <w:pPr>
        <w:pStyle w:val="Default"/>
        <w:numPr>
          <w:ilvl w:val="1"/>
          <w:numId w:val="15"/>
        </w:numPr>
        <w:contextualSpacing/>
        <w:jc w:val="both"/>
        <w:rPr>
          <w:color w:val="auto"/>
          <w:sz w:val="22"/>
          <w:szCs w:val="22"/>
        </w:rPr>
      </w:pPr>
      <w:r w:rsidRPr="009C7034">
        <w:rPr>
          <w:color w:val="auto"/>
          <w:sz w:val="22"/>
          <w:szCs w:val="22"/>
        </w:rPr>
        <w:t xml:space="preserve">(ii) If only one application will be submitted, that applicant will be the collaborative applicant and will collect and combine the required application information from all projects within the geographic area that the Continuum has selected for funding and apply for Continuum of Care planning activities; </w:t>
      </w:r>
    </w:p>
    <w:p w14:paraId="1AC1F175" w14:textId="77777777" w:rsidR="00537125" w:rsidRPr="009C7034" w:rsidRDefault="00537125" w:rsidP="00537125">
      <w:pPr>
        <w:pStyle w:val="Default"/>
        <w:contextualSpacing/>
        <w:jc w:val="both"/>
        <w:rPr>
          <w:color w:val="auto"/>
          <w:sz w:val="22"/>
          <w:szCs w:val="22"/>
        </w:rPr>
      </w:pPr>
    </w:p>
    <w:p w14:paraId="1D58E528" w14:textId="77777777" w:rsidR="00537125" w:rsidRPr="009C7034" w:rsidRDefault="00537125" w:rsidP="00537125">
      <w:pPr>
        <w:pStyle w:val="Default"/>
        <w:contextualSpacing/>
        <w:jc w:val="both"/>
        <w:rPr>
          <w:color w:val="auto"/>
          <w:sz w:val="22"/>
          <w:szCs w:val="22"/>
        </w:rPr>
      </w:pPr>
      <w:r w:rsidRPr="009C7034">
        <w:rPr>
          <w:color w:val="auto"/>
          <w:sz w:val="22"/>
          <w:szCs w:val="22"/>
        </w:rPr>
        <w:t xml:space="preserve">(b) </w:t>
      </w:r>
      <w:r w:rsidRPr="00A60D6B">
        <w:rPr>
          <w:b/>
          <w:color w:val="auto"/>
          <w:sz w:val="22"/>
          <w:szCs w:val="22"/>
        </w:rPr>
        <w:t>The Continuum retains all of its responsibilities</w:t>
      </w:r>
      <w:r w:rsidRPr="009C7034">
        <w:rPr>
          <w:color w:val="auto"/>
          <w:sz w:val="22"/>
          <w:szCs w:val="22"/>
        </w:rPr>
        <w:t xml:space="preserve">, even if it designates one or more eligible applicants other than itself to apply for funds on behalf of the Continuum. This includes approving the Continuum of Care application. </w:t>
      </w:r>
    </w:p>
    <w:p w14:paraId="765BE63A" w14:textId="77777777" w:rsidR="00537125" w:rsidRDefault="00537125" w:rsidP="00537125">
      <w:pPr>
        <w:pStyle w:val="Default"/>
        <w:contextualSpacing/>
        <w:jc w:val="both"/>
        <w:rPr>
          <w:color w:val="auto"/>
          <w:sz w:val="22"/>
          <w:szCs w:val="22"/>
        </w:rPr>
      </w:pPr>
    </w:p>
    <w:p w14:paraId="3E9C2FD6" w14:textId="77777777" w:rsidR="00537125" w:rsidRDefault="00537125" w:rsidP="00537125">
      <w:pPr>
        <w:pStyle w:val="Default"/>
        <w:contextualSpacing/>
        <w:jc w:val="both"/>
        <w:rPr>
          <w:color w:val="auto"/>
          <w:sz w:val="22"/>
          <w:szCs w:val="22"/>
        </w:rPr>
      </w:pPr>
      <w:r>
        <w:rPr>
          <w:color w:val="auto"/>
          <w:sz w:val="22"/>
          <w:szCs w:val="22"/>
        </w:rPr>
        <w:t>Application Process:  At a minimum, an application for grant funds must contain a:</w:t>
      </w:r>
    </w:p>
    <w:p w14:paraId="08E40CD2" w14:textId="77777777" w:rsidR="00537125" w:rsidRDefault="00537125" w:rsidP="00537125">
      <w:pPr>
        <w:pStyle w:val="Default"/>
        <w:numPr>
          <w:ilvl w:val="0"/>
          <w:numId w:val="16"/>
        </w:numPr>
        <w:contextualSpacing/>
        <w:jc w:val="both"/>
        <w:rPr>
          <w:color w:val="auto"/>
          <w:sz w:val="22"/>
          <w:szCs w:val="22"/>
        </w:rPr>
      </w:pPr>
      <w:r>
        <w:rPr>
          <w:color w:val="auto"/>
          <w:sz w:val="22"/>
          <w:szCs w:val="22"/>
        </w:rPr>
        <w:t>List of projects for which it is applying for funds;</w:t>
      </w:r>
    </w:p>
    <w:p w14:paraId="2FCC933B" w14:textId="77777777" w:rsidR="00537125" w:rsidRDefault="00537125" w:rsidP="00537125">
      <w:pPr>
        <w:pStyle w:val="Default"/>
        <w:numPr>
          <w:ilvl w:val="0"/>
          <w:numId w:val="16"/>
        </w:numPr>
        <w:contextualSpacing/>
        <w:jc w:val="both"/>
        <w:rPr>
          <w:color w:val="auto"/>
          <w:sz w:val="22"/>
          <w:szCs w:val="22"/>
        </w:rPr>
      </w:pPr>
      <w:r>
        <w:rPr>
          <w:color w:val="auto"/>
          <w:sz w:val="22"/>
          <w:szCs w:val="22"/>
        </w:rPr>
        <w:t>A description of the projects;</w:t>
      </w:r>
    </w:p>
    <w:p w14:paraId="56390816" w14:textId="77777777" w:rsidR="00537125" w:rsidRDefault="00537125" w:rsidP="00537125">
      <w:pPr>
        <w:pStyle w:val="Default"/>
        <w:numPr>
          <w:ilvl w:val="0"/>
          <w:numId w:val="16"/>
        </w:numPr>
        <w:contextualSpacing/>
        <w:jc w:val="both"/>
        <w:rPr>
          <w:color w:val="auto"/>
          <w:sz w:val="22"/>
          <w:szCs w:val="22"/>
        </w:rPr>
      </w:pPr>
      <w:r>
        <w:rPr>
          <w:color w:val="auto"/>
          <w:sz w:val="22"/>
          <w:szCs w:val="22"/>
        </w:rPr>
        <w:t>A list of the projects that will be carried out by the subrecipients and the names of the subrecipients;</w:t>
      </w:r>
    </w:p>
    <w:p w14:paraId="64F82309" w14:textId="77777777" w:rsidR="00537125" w:rsidRDefault="00537125" w:rsidP="00537125">
      <w:pPr>
        <w:pStyle w:val="Default"/>
        <w:numPr>
          <w:ilvl w:val="0"/>
          <w:numId w:val="16"/>
        </w:numPr>
        <w:contextualSpacing/>
        <w:jc w:val="both"/>
        <w:rPr>
          <w:color w:val="auto"/>
          <w:sz w:val="22"/>
          <w:szCs w:val="22"/>
        </w:rPr>
      </w:pPr>
      <w:r>
        <w:rPr>
          <w:color w:val="auto"/>
          <w:sz w:val="22"/>
          <w:szCs w:val="22"/>
        </w:rPr>
        <w:t>A description of the subpopulations of homeless or at risk of homelessness to be served by projects;</w:t>
      </w:r>
    </w:p>
    <w:p w14:paraId="1E64F174" w14:textId="77777777" w:rsidR="00537125" w:rsidRDefault="00537125" w:rsidP="00537125">
      <w:pPr>
        <w:pStyle w:val="Default"/>
        <w:numPr>
          <w:ilvl w:val="0"/>
          <w:numId w:val="16"/>
        </w:numPr>
        <w:contextualSpacing/>
        <w:jc w:val="both"/>
        <w:rPr>
          <w:color w:val="auto"/>
          <w:sz w:val="22"/>
          <w:szCs w:val="22"/>
        </w:rPr>
      </w:pPr>
      <w:r>
        <w:rPr>
          <w:color w:val="auto"/>
          <w:sz w:val="22"/>
          <w:szCs w:val="22"/>
        </w:rPr>
        <w:t>The number of units to be provided and/or the number of persons to be served by each project;</w:t>
      </w:r>
    </w:p>
    <w:p w14:paraId="218FB92C" w14:textId="77777777" w:rsidR="00537125" w:rsidRDefault="00537125" w:rsidP="00537125">
      <w:pPr>
        <w:pStyle w:val="Default"/>
        <w:numPr>
          <w:ilvl w:val="0"/>
          <w:numId w:val="16"/>
        </w:numPr>
        <w:contextualSpacing/>
        <w:jc w:val="both"/>
        <w:rPr>
          <w:color w:val="auto"/>
          <w:sz w:val="22"/>
          <w:szCs w:val="22"/>
        </w:rPr>
      </w:pPr>
      <w:r>
        <w:rPr>
          <w:color w:val="auto"/>
          <w:sz w:val="22"/>
          <w:szCs w:val="22"/>
        </w:rPr>
        <w:t>A budget request by each project; and</w:t>
      </w:r>
    </w:p>
    <w:p w14:paraId="21BF9225" w14:textId="77777777" w:rsidR="00537125" w:rsidRDefault="00537125" w:rsidP="00537125">
      <w:pPr>
        <w:pStyle w:val="Default"/>
        <w:numPr>
          <w:ilvl w:val="0"/>
          <w:numId w:val="16"/>
        </w:numPr>
        <w:contextualSpacing/>
        <w:jc w:val="both"/>
        <w:rPr>
          <w:color w:val="auto"/>
          <w:sz w:val="22"/>
          <w:szCs w:val="22"/>
        </w:rPr>
      </w:pPr>
      <w:r>
        <w:rPr>
          <w:color w:val="auto"/>
          <w:sz w:val="22"/>
          <w:szCs w:val="22"/>
        </w:rPr>
        <w:t>Reasonable assurances that the applicant, or the subrecipient, will own or have control of the site for the proposed project not later than the expiration of the 12-month period beginning upon notification of an award for grant assistance.</w:t>
      </w:r>
    </w:p>
    <w:p w14:paraId="4D566205" w14:textId="77777777" w:rsidR="00537125" w:rsidRPr="009C7034" w:rsidRDefault="00537125" w:rsidP="00537125">
      <w:pPr>
        <w:pStyle w:val="Default"/>
        <w:numPr>
          <w:ilvl w:val="0"/>
          <w:numId w:val="16"/>
        </w:numPr>
        <w:contextualSpacing/>
        <w:jc w:val="both"/>
        <w:rPr>
          <w:color w:val="auto"/>
          <w:sz w:val="22"/>
          <w:szCs w:val="22"/>
        </w:rPr>
      </w:pPr>
    </w:p>
    <w:p w14:paraId="05FB25B9" w14:textId="77777777" w:rsidR="00537125" w:rsidRPr="009C7034" w:rsidRDefault="00537125" w:rsidP="00537125">
      <w:pPr>
        <w:pStyle w:val="Default"/>
        <w:contextualSpacing/>
        <w:jc w:val="both"/>
        <w:rPr>
          <w:color w:val="auto"/>
          <w:sz w:val="22"/>
          <w:szCs w:val="22"/>
        </w:rPr>
      </w:pPr>
      <w:r w:rsidRPr="009C7034">
        <w:rPr>
          <w:color w:val="auto"/>
          <w:sz w:val="22"/>
          <w:szCs w:val="22"/>
        </w:rPr>
        <w:t xml:space="preserve">Section 422(h) of the McKinney-Vento Act provides the authority for a solo applicant to submit an application to HUD and be awarded a grant by HUD if it meets the criteria under section 427 of the McKinney-Vento Act. </w:t>
      </w:r>
      <w:r>
        <w:rPr>
          <w:color w:val="auto"/>
          <w:sz w:val="22"/>
          <w:szCs w:val="22"/>
        </w:rPr>
        <w:t xml:space="preserve"> </w:t>
      </w:r>
      <w:r w:rsidRPr="009C7034">
        <w:rPr>
          <w:color w:val="auto"/>
          <w:sz w:val="22"/>
          <w:szCs w:val="22"/>
        </w:rPr>
        <w:t xml:space="preserve">The statute also requires that HUD establish an appeal process for organizations that attempted to participate in the Continuum of Care’s process and believe they were denied the right to reasonable participation, as reviewed in the context of the local Continuum’s process. An organization may submit a solo application to HUD and appeal the Continuum’s decision not to include it in the Continuum’s application. If HUD finds that the solo applicant was not permitted to participate in the Continuum of Care process in a reasonable manner, then HUD may award the grant to that solo applicant and may direct the Continuum to take remedial steps to ensure reasonable participation in the future. HUD may also reduce the award to the Continuum’s applicant(s). </w:t>
      </w:r>
    </w:p>
    <w:p w14:paraId="0EE2DDC3" w14:textId="77777777" w:rsidR="00537125" w:rsidRPr="009C7034" w:rsidRDefault="00537125" w:rsidP="00537125">
      <w:pPr>
        <w:pStyle w:val="Default"/>
        <w:contextualSpacing/>
        <w:jc w:val="both"/>
        <w:rPr>
          <w:color w:val="auto"/>
          <w:sz w:val="22"/>
          <w:szCs w:val="22"/>
        </w:rPr>
      </w:pPr>
    </w:p>
    <w:p w14:paraId="3062341E" w14:textId="77777777" w:rsidR="00537125" w:rsidRPr="009C7034" w:rsidRDefault="00537125" w:rsidP="00537125">
      <w:pPr>
        <w:pStyle w:val="Default"/>
        <w:contextualSpacing/>
        <w:jc w:val="both"/>
        <w:rPr>
          <w:color w:val="auto"/>
          <w:sz w:val="22"/>
          <w:szCs w:val="22"/>
        </w:rPr>
      </w:pPr>
      <w:r w:rsidRPr="009C7034">
        <w:rPr>
          <w:b/>
          <w:bCs/>
          <w:i/>
          <w:iCs/>
          <w:color w:val="auto"/>
          <w:sz w:val="22"/>
          <w:szCs w:val="22"/>
        </w:rPr>
        <w:t>Planning activities</w:t>
      </w:r>
      <w:r w:rsidRPr="009C7034">
        <w:rPr>
          <w:i/>
          <w:iCs/>
          <w:color w:val="auto"/>
          <w:sz w:val="22"/>
          <w:szCs w:val="22"/>
        </w:rPr>
        <w:t xml:space="preserve">. </w:t>
      </w:r>
      <w:r w:rsidRPr="009C7034">
        <w:rPr>
          <w:color w:val="auto"/>
          <w:sz w:val="22"/>
          <w:szCs w:val="22"/>
        </w:rPr>
        <w:t xml:space="preserve">Under this interim rule, HUD lists eligible planning costs for the Continuum of Care under § 578.39(b) and (c). HUD will allow no more than 3 percent of the FPRN, or a maximum amount to be established by the NOFA, to be used for certain costs. These costs must be related to designing a collaborative process for an application to HUD, evaluating the outcomes of funded projects under the Continuum of Care and Emergency Solutions Grants programs, and participating in the consolidated plan(s) for the geographic area(s). Under section 423 of the McKinney-Vento Act, a collaborative applicant may use no more than 3 percent of total funds made available to pay for administrative costs related to Continuum of Care planning. </w:t>
      </w:r>
    </w:p>
    <w:p w14:paraId="4276382B" w14:textId="77777777" w:rsidR="00537125" w:rsidRPr="009C7034" w:rsidRDefault="00537125" w:rsidP="00537125">
      <w:pPr>
        <w:pStyle w:val="Default"/>
        <w:contextualSpacing/>
        <w:jc w:val="both"/>
        <w:rPr>
          <w:b/>
          <w:bCs/>
          <w:color w:val="auto"/>
          <w:sz w:val="22"/>
          <w:szCs w:val="22"/>
        </w:rPr>
      </w:pPr>
    </w:p>
    <w:p w14:paraId="4C559838" w14:textId="77777777" w:rsidR="00537125" w:rsidRPr="009C7034" w:rsidRDefault="00537125" w:rsidP="00537125">
      <w:pPr>
        <w:pStyle w:val="Default"/>
        <w:contextualSpacing/>
        <w:jc w:val="both"/>
        <w:rPr>
          <w:color w:val="auto"/>
          <w:sz w:val="22"/>
          <w:szCs w:val="22"/>
        </w:rPr>
      </w:pPr>
    </w:p>
    <w:p w14:paraId="0ABD8AF1" w14:textId="77777777" w:rsidR="00537125" w:rsidRPr="009C7034" w:rsidRDefault="00537125" w:rsidP="00537125">
      <w:pPr>
        <w:contextualSpacing/>
        <w:jc w:val="both"/>
        <w:rPr>
          <w:rFonts w:ascii="Calibri" w:hAnsi="Calibri"/>
        </w:rPr>
      </w:pPr>
    </w:p>
    <w:p w14:paraId="2487F6ED" w14:textId="77777777" w:rsidR="00152706" w:rsidRPr="009B2486" w:rsidRDefault="00152706" w:rsidP="009B2486">
      <w:pPr>
        <w:tabs>
          <w:tab w:val="left" w:pos="2955"/>
        </w:tabs>
        <w:rPr>
          <w:rFonts w:ascii="Times New Roman"/>
        </w:rPr>
      </w:pPr>
    </w:p>
    <w:sectPr w:rsidR="00152706" w:rsidRPr="009B2486" w:rsidSect="006673C2">
      <w:headerReference w:type="default" r:id="rId7"/>
      <w:footerReference w:type="default" r:id="rId8"/>
      <w:pgSz w:w="12240" w:h="15840" w:code="1"/>
      <w:pgMar w:top="720" w:right="720" w:bottom="720" w:left="720" w:header="720" w:footer="432" w:gutter="0"/>
      <w:cols w:sep="1"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F9DB5" w14:textId="77777777" w:rsidR="002E0798" w:rsidRDefault="002E0798" w:rsidP="000679BA">
      <w:r>
        <w:separator/>
      </w:r>
    </w:p>
  </w:endnote>
  <w:endnote w:type="continuationSeparator" w:id="0">
    <w:p w14:paraId="4AB27A60" w14:textId="77777777" w:rsidR="002E0798" w:rsidRDefault="002E0798" w:rsidP="0006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NewRomanPS-BoldMT">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842A" w14:textId="77777777" w:rsidR="00642088" w:rsidRPr="008E43C3" w:rsidRDefault="00C02777">
    <w:pPr>
      <w:pStyle w:val="Footer"/>
      <w:rPr>
        <w:sz w:val="18"/>
        <w:szCs w:val="18"/>
      </w:rPr>
    </w:pPr>
    <w:r w:rsidRPr="008E43C3">
      <w:rPr>
        <w:sz w:val="18"/>
        <w:szCs w:val="18"/>
      </w:rPr>
      <w:fldChar w:fldCharType="begin"/>
    </w:r>
    <w:r w:rsidRPr="008E43C3">
      <w:rPr>
        <w:sz w:val="18"/>
        <w:szCs w:val="18"/>
      </w:rPr>
      <w:instrText xml:space="preserve"> FILENAME  \* FirstCap \p  \* MERGEFORMAT </w:instrText>
    </w:r>
    <w:r w:rsidRPr="008E43C3">
      <w:rPr>
        <w:sz w:val="18"/>
        <w:szCs w:val="18"/>
      </w:rPr>
      <w:fldChar w:fldCharType="separate"/>
    </w:r>
    <w:r w:rsidR="00CC3BF7">
      <w:rPr>
        <w:noProof/>
        <w:sz w:val="18"/>
        <w:szCs w:val="18"/>
      </w:rPr>
      <w:t>I:\Homeless Initiatives\Collaborative Applicant\2016 Competition\Workplans\FY 2016 Work Plan Draft 6-28-16.docx</w:t>
    </w:r>
    <w:r w:rsidRPr="008E43C3">
      <w:rPr>
        <w:sz w:val="18"/>
        <w:szCs w:val="18"/>
      </w:rPr>
      <w:fldChar w:fldCharType="end"/>
    </w:r>
    <w:r w:rsidR="00642088" w:rsidRPr="008E43C3">
      <w:rPr>
        <w:sz w:val="18"/>
        <w:szCs w:val="18"/>
      </w:rPr>
      <w:t xml:space="preserve">                                                           </w:t>
    </w:r>
    <w:r w:rsidR="008E43C3" w:rsidRPr="008E43C3">
      <w:rPr>
        <w:sz w:val="18"/>
        <w:szCs w:val="18"/>
      </w:rPr>
      <w:t xml:space="preserve">Page </w:t>
    </w:r>
    <w:r w:rsidR="00642088" w:rsidRPr="008E43C3">
      <w:rPr>
        <w:sz w:val="18"/>
        <w:szCs w:val="18"/>
      </w:rPr>
      <w:fldChar w:fldCharType="begin"/>
    </w:r>
    <w:r w:rsidR="00642088" w:rsidRPr="008E43C3">
      <w:rPr>
        <w:sz w:val="18"/>
        <w:szCs w:val="18"/>
      </w:rPr>
      <w:instrText xml:space="preserve"> PAGE   \* MERGEFORMAT </w:instrText>
    </w:r>
    <w:r w:rsidR="00642088" w:rsidRPr="008E43C3">
      <w:rPr>
        <w:sz w:val="18"/>
        <w:szCs w:val="18"/>
      </w:rPr>
      <w:fldChar w:fldCharType="separate"/>
    </w:r>
    <w:r w:rsidR="00830BAE">
      <w:rPr>
        <w:noProof/>
        <w:sz w:val="18"/>
        <w:szCs w:val="18"/>
      </w:rPr>
      <w:t>1</w:t>
    </w:r>
    <w:r w:rsidR="00642088" w:rsidRPr="008E43C3">
      <w:rPr>
        <w:sz w:val="18"/>
        <w:szCs w:val="18"/>
      </w:rPr>
      <w:fldChar w:fldCharType="end"/>
    </w:r>
  </w:p>
  <w:p w14:paraId="1F140ADD" w14:textId="77777777" w:rsidR="00642088" w:rsidRPr="008E43C3" w:rsidRDefault="00642088">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AC905" w14:textId="77777777" w:rsidR="002E0798" w:rsidRDefault="002E0798" w:rsidP="000679BA">
      <w:r>
        <w:separator/>
      </w:r>
    </w:p>
  </w:footnote>
  <w:footnote w:type="continuationSeparator" w:id="0">
    <w:p w14:paraId="40487219" w14:textId="77777777" w:rsidR="002E0798" w:rsidRDefault="002E0798" w:rsidP="000679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AE92E" w14:textId="77777777" w:rsidR="00877EDD" w:rsidRDefault="00877EDD">
    <w:pPr>
      <w:pStyle w:val="Header"/>
    </w:pPr>
    <w:r>
      <w:rPr>
        <w:noProof/>
      </w:rPr>
      <w:drawing>
        <wp:inline distT="0" distB="0" distL="0" distR="0" wp14:anchorId="0E24BA91" wp14:editId="32160326">
          <wp:extent cx="2627324" cy="508964"/>
          <wp:effectExtent l="0" t="0" r="1905" b="5715"/>
          <wp:docPr id="7" name="Picture 7" descr="MSHAlogo5265_583 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HAlogo5265_583 2color"/>
                  <pic:cNvPicPr>
                    <a:picLocks noChangeAspect="1" noChangeArrowheads="1"/>
                  </pic:cNvPicPr>
                </pic:nvPicPr>
                <pic:blipFill>
                  <a:blip r:embed="rId1" cstate="print"/>
                  <a:srcRect/>
                  <a:stretch>
                    <a:fillRect/>
                  </a:stretch>
                </pic:blipFill>
                <pic:spPr bwMode="auto">
                  <a:xfrm>
                    <a:off x="0" y="0"/>
                    <a:ext cx="2630602" cy="509599"/>
                  </a:xfrm>
                  <a:prstGeom prst="rect">
                    <a:avLst/>
                  </a:prstGeom>
                  <a:noFill/>
                  <a:ln w="9525">
                    <a:noFill/>
                    <a:miter lim="800000"/>
                    <a:headEnd/>
                    <a:tailEnd/>
                  </a:ln>
                </pic:spPr>
              </pic:pic>
            </a:graphicData>
          </a:graphic>
        </wp:inline>
      </w:drawing>
    </w:r>
  </w:p>
  <w:p w14:paraId="28C05A7C" w14:textId="77777777" w:rsidR="00877EDD" w:rsidRDefault="00877EDD" w:rsidP="00877EDD">
    <w:pPr>
      <w:pStyle w:val="Header"/>
      <w:jc w:val="center"/>
    </w:pPr>
  </w:p>
  <w:p w14:paraId="765C198A" w14:textId="77777777" w:rsidR="00877EDD" w:rsidRPr="00877EDD" w:rsidRDefault="00581270" w:rsidP="00877EDD">
    <w:pPr>
      <w:pStyle w:val="Header"/>
      <w:jc w:val="center"/>
      <w:rPr>
        <w:sz w:val="28"/>
        <w:szCs w:val="28"/>
      </w:rPr>
    </w:pPr>
    <w:r>
      <w:rPr>
        <w:sz w:val="28"/>
        <w:szCs w:val="28"/>
      </w:rPr>
      <w:t xml:space="preserve">FY2016 </w:t>
    </w:r>
    <w:r w:rsidR="00877EDD" w:rsidRPr="00877EDD">
      <w:rPr>
        <w:sz w:val="28"/>
        <w:szCs w:val="28"/>
      </w:rPr>
      <w:t>CoC NOFA APPLICATION WORK PLAN</w:t>
    </w:r>
  </w:p>
  <w:p w14:paraId="464CC2D0" w14:textId="77777777" w:rsidR="00877EDD" w:rsidRDefault="00877EDD" w:rsidP="00877ED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E683AB2"/>
    <w:multiLevelType w:val="hybridMultilevel"/>
    <w:tmpl w:val="DD5FBD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B23D8"/>
    <w:multiLevelType w:val="hybridMultilevel"/>
    <w:tmpl w:val="38E2A50A"/>
    <w:lvl w:ilvl="0" w:tplc="236EB42A">
      <w:start w:val="3"/>
      <w:numFmt w:val="bullet"/>
      <w:lvlText w:val="-"/>
      <w:lvlJc w:val="left"/>
      <w:pPr>
        <w:ind w:left="735" w:hanging="360"/>
      </w:pPr>
      <w:rPr>
        <w:rFonts w:ascii="Times New Roman" w:eastAsiaTheme="minorEastAsia"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F542CDB"/>
    <w:multiLevelType w:val="hybridMultilevel"/>
    <w:tmpl w:val="E8663458"/>
    <w:lvl w:ilvl="0" w:tplc="E0E0A7A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84758"/>
    <w:multiLevelType w:val="hybridMultilevel"/>
    <w:tmpl w:val="D9DEAE30"/>
    <w:lvl w:ilvl="0" w:tplc="499C421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286F585B"/>
    <w:multiLevelType w:val="hybridMultilevel"/>
    <w:tmpl w:val="DAB86F7E"/>
    <w:lvl w:ilvl="0" w:tplc="0336810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A1F0D"/>
    <w:multiLevelType w:val="hybridMultilevel"/>
    <w:tmpl w:val="1FD6C946"/>
    <w:lvl w:ilvl="0" w:tplc="D0BE99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B314F"/>
    <w:multiLevelType w:val="hybridMultilevel"/>
    <w:tmpl w:val="DC7E9104"/>
    <w:lvl w:ilvl="0" w:tplc="E8EE70B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A0057"/>
    <w:multiLevelType w:val="hybridMultilevel"/>
    <w:tmpl w:val="61A6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53331"/>
    <w:multiLevelType w:val="hybridMultilevel"/>
    <w:tmpl w:val="0922A50A"/>
    <w:lvl w:ilvl="0" w:tplc="2C7ABFF8">
      <w:start w:val="1"/>
      <w:numFmt w:val="decimal"/>
      <w:lvlText w:val="%1."/>
      <w:lvlJc w:val="left"/>
      <w:pPr>
        <w:ind w:left="720" w:hanging="360"/>
      </w:pPr>
      <w:rPr>
        <w:rFonts w:ascii="Times New Roman" w:hAnsi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E6031E1"/>
    <w:multiLevelType w:val="hybridMultilevel"/>
    <w:tmpl w:val="DC5C3BF0"/>
    <w:lvl w:ilvl="0" w:tplc="E64A38A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32777"/>
    <w:multiLevelType w:val="hybridMultilevel"/>
    <w:tmpl w:val="8ABAA3CE"/>
    <w:lvl w:ilvl="0" w:tplc="BBA2D55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F34837"/>
    <w:multiLevelType w:val="hybridMultilevel"/>
    <w:tmpl w:val="8344657A"/>
    <w:lvl w:ilvl="0" w:tplc="9D9AAA2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4B7937CF"/>
    <w:multiLevelType w:val="hybridMultilevel"/>
    <w:tmpl w:val="5364AA12"/>
    <w:lvl w:ilvl="0" w:tplc="B888AE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nsid w:val="4C034342"/>
    <w:multiLevelType w:val="hybridMultilevel"/>
    <w:tmpl w:val="F934D0C4"/>
    <w:lvl w:ilvl="0" w:tplc="0634332E">
      <w:start w:val="5"/>
      <w:numFmt w:val="bullet"/>
      <w:lvlText w:val="-"/>
      <w:lvlJc w:val="left"/>
      <w:pPr>
        <w:ind w:left="720" w:hanging="360"/>
      </w:pPr>
      <w:rPr>
        <w:rFonts w:ascii="Times New Roman" w:eastAsiaTheme="minorEastAsia" w:hAnsi="Times New Roman"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44491E"/>
    <w:multiLevelType w:val="hybridMultilevel"/>
    <w:tmpl w:val="EE60723A"/>
    <w:lvl w:ilvl="0" w:tplc="720EE92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1524DB"/>
    <w:multiLevelType w:val="hybridMultilevel"/>
    <w:tmpl w:val="B25C1052"/>
    <w:lvl w:ilvl="0" w:tplc="64EE93EE">
      <w:start w:val="1"/>
      <w:numFmt w:val="bullet"/>
      <w:lvlText w:val=""/>
      <w:lvlJc w:val="left"/>
      <w:pPr>
        <w:ind w:left="360" w:hanging="360"/>
      </w:pPr>
      <w:rPr>
        <w:rFonts w:ascii="Symbol" w:hAnsi="Symbol"/>
      </w:rPr>
    </w:lvl>
    <w:lvl w:ilvl="1" w:tplc="801C1786">
      <w:start w:val="1"/>
      <w:numFmt w:val="bullet"/>
      <w:lvlText w:val="o"/>
      <w:lvlJc w:val="left"/>
      <w:pPr>
        <w:ind w:left="720" w:hanging="360"/>
      </w:pPr>
      <w:rPr>
        <w:rFonts w:ascii="Courier New" w:hAnsi="Courier New" w:cs="Courier New"/>
      </w:rPr>
    </w:lvl>
    <w:lvl w:ilvl="2" w:tplc="EC6A442A">
      <w:start w:val="1"/>
      <w:numFmt w:val="bullet"/>
      <w:lvlText w:val=""/>
      <w:lvlJc w:val="left"/>
      <w:pPr>
        <w:ind w:left="1080" w:hanging="360"/>
      </w:pPr>
      <w:rPr>
        <w:rFonts w:ascii="Wingdings" w:hAnsi="Wingdings"/>
      </w:rPr>
    </w:lvl>
    <w:lvl w:ilvl="3" w:tplc="959C017C">
      <w:start w:val="1"/>
      <w:numFmt w:val="bullet"/>
      <w:lvlText w:val=""/>
      <w:lvlJc w:val="left"/>
      <w:pPr>
        <w:ind w:left="1440" w:hanging="360"/>
      </w:pPr>
      <w:rPr>
        <w:rFonts w:ascii="Symbol" w:hAnsi="Symbol"/>
      </w:rPr>
    </w:lvl>
    <w:lvl w:ilvl="4" w:tplc="36E8C97A">
      <w:start w:val="1"/>
      <w:numFmt w:val="bullet"/>
      <w:lvlText w:val="o"/>
      <w:lvlJc w:val="left"/>
      <w:pPr>
        <w:ind w:left="1800" w:hanging="360"/>
      </w:pPr>
      <w:rPr>
        <w:rFonts w:ascii="Courier New" w:hAnsi="Courier New" w:cs="Courier New"/>
      </w:rPr>
    </w:lvl>
    <w:lvl w:ilvl="5" w:tplc="EB3CE2E6">
      <w:start w:val="1"/>
      <w:numFmt w:val="bullet"/>
      <w:lvlText w:val=""/>
      <w:lvlJc w:val="left"/>
      <w:pPr>
        <w:ind w:left="2160" w:hanging="360"/>
      </w:pPr>
      <w:rPr>
        <w:rFonts w:ascii="Wingdings" w:hAnsi="Wingdings"/>
      </w:rPr>
    </w:lvl>
    <w:lvl w:ilvl="6" w:tplc="1C0C602A">
      <w:start w:val="1"/>
      <w:numFmt w:val="bullet"/>
      <w:lvlText w:val=""/>
      <w:lvlJc w:val="left"/>
      <w:pPr>
        <w:ind w:left="2520" w:hanging="360"/>
      </w:pPr>
      <w:rPr>
        <w:rFonts w:ascii="Symbol" w:hAnsi="Symbol"/>
      </w:rPr>
    </w:lvl>
    <w:lvl w:ilvl="7" w:tplc="C4988592">
      <w:start w:val="1"/>
      <w:numFmt w:val="bullet"/>
      <w:lvlText w:val="o"/>
      <w:lvlJc w:val="left"/>
      <w:pPr>
        <w:ind w:left="2880" w:hanging="360"/>
      </w:pPr>
      <w:rPr>
        <w:rFonts w:ascii="Courier New" w:hAnsi="Courier New" w:cs="Courier New"/>
      </w:rPr>
    </w:lvl>
    <w:lvl w:ilvl="8" w:tplc="C808899E">
      <w:start w:val="1"/>
      <w:numFmt w:val="bullet"/>
      <w:lvlText w:val=""/>
      <w:lvlJc w:val="left"/>
      <w:pPr>
        <w:ind w:left="3240" w:hanging="360"/>
      </w:pPr>
      <w:rPr>
        <w:rFonts w:ascii="Wingdings" w:hAnsi="Wingdings"/>
      </w:rPr>
    </w:lvl>
  </w:abstractNum>
  <w:abstractNum w:abstractNumId="16">
    <w:nsid w:val="69204565"/>
    <w:multiLevelType w:val="hybridMultilevel"/>
    <w:tmpl w:val="55AC185E"/>
    <w:lvl w:ilvl="0" w:tplc="03C8586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620BA7"/>
    <w:multiLevelType w:val="hybridMultilevel"/>
    <w:tmpl w:val="BF50D30C"/>
    <w:lvl w:ilvl="0" w:tplc="D244367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463D87"/>
    <w:multiLevelType w:val="hybridMultilevel"/>
    <w:tmpl w:val="7C36B250"/>
    <w:lvl w:ilvl="0" w:tplc="C90207B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7408A2"/>
    <w:multiLevelType w:val="hybridMultilevel"/>
    <w:tmpl w:val="F742267A"/>
    <w:lvl w:ilvl="0" w:tplc="4B406E6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896C27"/>
    <w:multiLevelType w:val="hybridMultilevel"/>
    <w:tmpl w:val="61F8DD82"/>
    <w:lvl w:ilvl="0" w:tplc="D4D4860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nsid w:val="78622098"/>
    <w:multiLevelType w:val="hybridMultilevel"/>
    <w:tmpl w:val="4D4852A8"/>
    <w:lvl w:ilvl="0" w:tplc="FD9CDB3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5A33C9"/>
    <w:multiLevelType w:val="hybridMultilevel"/>
    <w:tmpl w:val="35A8BE90"/>
    <w:lvl w:ilvl="0" w:tplc="8C503AA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5"/>
  </w:num>
  <w:num w:numId="2">
    <w:abstractNumId w:val="2"/>
  </w:num>
  <w:num w:numId="3">
    <w:abstractNumId w:val="21"/>
  </w:num>
  <w:num w:numId="4">
    <w:abstractNumId w:val="1"/>
  </w:num>
  <w:num w:numId="5">
    <w:abstractNumId w:val="4"/>
  </w:num>
  <w:num w:numId="6">
    <w:abstractNumId w:val="19"/>
  </w:num>
  <w:num w:numId="7">
    <w:abstractNumId w:val="10"/>
  </w:num>
  <w:num w:numId="8">
    <w:abstractNumId w:val="17"/>
  </w:num>
  <w:num w:numId="9">
    <w:abstractNumId w:val="14"/>
  </w:num>
  <w:num w:numId="10">
    <w:abstractNumId w:val="5"/>
  </w:num>
  <w:num w:numId="11">
    <w:abstractNumId w:val="6"/>
  </w:num>
  <w:num w:numId="12">
    <w:abstractNumId w:val="9"/>
  </w:num>
  <w:num w:numId="13">
    <w:abstractNumId w:val="16"/>
  </w:num>
  <w:num w:numId="14">
    <w:abstractNumId w:val="18"/>
  </w:num>
  <w:num w:numId="15">
    <w:abstractNumId w:val="0"/>
  </w:num>
  <w:num w:numId="16">
    <w:abstractNumId w:val="7"/>
  </w:num>
  <w:num w:numId="17">
    <w:abstractNumId w:val="13"/>
  </w:num>
  <w:num w:numId="18">
    <w:abstractNumId w:val="8"/>
  </w:num>
  <w:num w:numId="19">
    <w:abstractNumId w:val="11"/>
  </w:num>
  <w:num w:numId="20">
    <w:abstractNumId w:val="20"/>
  </w:num>
  <w:num w:numId="21">
    <w:abstractNumId w:val="22"/>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2E"/>
    <w:rsid w:val="000679BA"/>
    <w:rsid w:val="000F3BAE"/>
    <w:rsid w:val="0010331F"/>
    <w:rsid w:val="00152706"/>
    <w:rsid w:val="00185C6B"/>
    <w:rsid w:val="00212683"/>
    <w:rsid w:val="00225F2E"/>
    <w:rsid w:val="00253953"/>
    <w:rsid w:val="00261451"/>
    <w:rsid w:val="00270EAD"/>
    <w:rsid w:val="002B0819"/>
    <w:rsid w:val="002C7D25"/>
    <w:rsid w:val="002E0798"/>
    <w:rsid w:val="00313DF9"/>
    <w:rsid w:val="003160FA"/>
    <w:rsid w:val="00317C27"/>
    <w:rsid w:val="00342FDC"/>
    <w:rsid w:val="003779EA"/>
    <w:rsid w:val="00387DA1"/>
    <w:rsid w:val="003A1546"/>
    <w:rsid w:val="003C3787"/>
    <w:rsid w:val="003C4D17"/>
    <w:rsid w:val="004214EB"/>
    <w:rsid w:val="0045295F"/>
    <w:rsid w:val="004804D1"/>
    <w:rsid w:val="00486BE4"/>
    <w:rsid w:val="004A2FCA"/>
    <w:rsid w:val="004A6AD8"/>
    <w:rsid w:val="004B0F56"/>
    <w:rsid w:val="004C1A82"/>
    <w:rsid w:val="004E510B"/>
    <w:rsid w:val="00527D46"/>
    <w:rsid w:val="00537125"/>
    <w:rsid w:val="00550E35"/>
    <w:rsid w:val="00581270"/>
    <w:rsid w:val="005A7608"/>
    <w:rsid w:val="005F42FF"/>
    <w:rsid w:val="00622711"/>
    <w:rsid w:val="00623301"/>
    <w:rsid w:val="00642088"/>
    <w:rsid w:val="006472A4"/>
    <w:rsid w:val="006673C2"/>
    <w:rsid w:val="0072574C"/>
    <w:rsid w:val="00746C40"/>
    <w:rsid w:val="0077682B"/>
    <w:rsid w:val="00776D88"/>
    <w:rsid w:val="00777DA3"/>
    <w:rsid w:val="007C2B0D"/>
    <w:rsid w:val="00830BAE"/>
    <w:rsid w:val="00877EDD"/>
    <w:rsid w:val="008B2A62"/>
    <w:rsid w:val="008D0142"/>
    <w:rsid w:val="008E43C3"/>
    <w:rsid w:val="008E719E"/>
    <w:rsid w:val="00900063"/>
    <w:rsid w:val="00951E9F"/>
    <w:rsid w:val="00963181"/>
    <w:rsid w:val="009B2486"/>
    <w:rsid w:val="00A52B94"/>
    <w:rsid w:val="00A86E78"/>
    <w:rsid w:val="00AA2C01"/>
    <w:rsid w:val="00AA6F2E"/>
    <w:rsid w:val="00AC576F"/>
    <w:rsid w:val="00AE674F"/>
    <w:rsid w:val="00B03818"/>
    <w:rsid w:val="00B34956"/>
    <w:rsid w:val="00B54A4F"/>
    <w:rsid w:val="00B55B56"/>
    <w:rsid w:val="00B606A4"/>
    <w:rsid w:val="00B82747"/>
    <w:rsid w:val="00BA42EE"/>
    <w:rsid w:val="00BB202C"/>
    <w:rsid w:val="00C02777"/>
    <w:rsid w:val="00C40F4E"/>
    <w:rsid w:val="00C60C1F"/>
    <w:rsid w:val="00C91ACF"/>
    <w:rsid w:val="00CC3BF7"/>
    <w:rsid w:val="00CD3D44"/>
    <w:rsid w:val="00CF114D"/>
    <w:rsid w:val="00D07AD8"/>
    <w:rsid w:val="00D31A9B"/>
    <w:rsid w:val="00D31B9F"/>
    <w:rsid w:val="00D703CC"/>
    <w:rsid w:val="00DA69B2"/>
    <w:rsid w:val="00DB4814"/>
    <w:rsid w:val="00DB4DF9"/>
    <w:rsid w:val="00DC4B07"/>
    <w:rsid w:val="00DE1691"/>
    <w:rsid w:val="00DF39F7"/>
    <w:rsid w:val="00E2568E"/>
    <w:rsid w:val="00EA7A8F"/>
    <w:rsid w:val="00F239DE"/>
    <w:rsid w:val="00F9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102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A8F"/>
    <w:pPr>
      <w:ind w:left="720"/>
      <w:contextualSpacing/>
    </w:pPr>
  </w:style>
  <w:style w:type="table" w:styleId="TableGrid">
    <w:name w:val="Table Grid"/>
    <w:basedOn w:val="TableNormal"/>
    <w:uiPriority w:val="59"/>
    <w:rsid w:val="00C6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79BA"/>
    <w:pPr>
      <w:tabs>
        <w:tab w:val="center" w:pos="4680"/>
        <w:tab w:val="right" w:pos="9360"/>
      </w:tabs>
    </w:pPr>
  </w:style>
  <w:style w:type="character" w:customStyle="1" w:styleId="HeaderChar">
    <w:name w:val="Header Char"/>
    <w:basedOn w:val="DefaultParagraphFont"/>
    <w:link w:val="Header"/>
    <w:uiPriority w:val="99"/>
    <w:rsid w:val="000679BA"/>
  </w:style>
  <w:style w:type="paragraph" w:styleId="Footer">
    <w:name w:val="footer"/>
    <w:basedOn w:val="Normal"/>
    <w:link w:val="FooterChar"/>
    <w:uiPriority w:val="99"/>
    <w:unhideWhenUsed/>
    <w:rsid w:val="000679BA"/>
    <w:pPr>
      <w:tabs>
        <w:tab w:val="center" w:pos="4680"/>
        <w:tab w:val="right" w:pos="9360"/>
      </w:tabs>
    </w:pPr>
  </w:style>
  <w:style w:type="character" w:customStyle="1" w:styleId="FooterChar">
    <w:name w:val="Footer Char"/>
    <w:basedOn w:val="DefaultParagraphFont"/>
    <w:link w:val="Footer"/>
    <w:uiPriority w:val="99"/>
    <w:rsid w:val="000679BA"/>
  </w:style>
  <w:style w:type="paragraph" w:styleId="BalloonText">
    <w:name w:val="Balloon Text"/>
    <w:basedOn w:val="Normal"/>
    <w:link w:val="BalloonTextChar"/>
    <w:uiPriority w:val="99"/>
    <w:semiHidden/>
    <w:unhideWhenUsed/>
    <w:rsid w:val="000679BA"/>
    <w:rPr>
      <w:rFonts w:ascii="Tahoma" w:hAnsi="Tahoma" w:cs="Tahoma"/>
      <w:sz w:val="16"/>
      <w:szCs w:val="16"/>
    </w:rPr>
  </w:style>
  <w:style w:type="character" w:customStyle="1" w:styleId="BalloonTextChar">
    <w:name w:val="Balloon Text Char"/>
    <w:basedOn w:val="DefaultParagraphFont"/>
    <w:link w:val="BalloonText"/>
    <w:uiPriority w:val="99"/>
    <w:semiHidden/>
    <w:rsid w:val="000679BA"/>
    <w:rPr>
      <w:rFonts w:ascii="Tahoma" w:hAnsi="Tahoma" w:cs="Tahoma"/>
      <w:sz w:val="16"/>
      <w:szCs w:val="16"/>
    </w:rPr>
  </w:style>
  <w:style w:type="paragraph" w:customStyle="1" w:styleId="Default">
    <w:name w:val="Default"/>
    <w:rsid w:val="00537125"/>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2647</Words>
  <Characters>15089</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FY2015 MCoC NOFA APPLICATION WORK PLAN</vt:lpstr>
    </vt:vector>
  </TitlesOfParts>
  <Company>Maine State Housing Authority</Company>
  <LinksUpToDate>false</LinksUpToDate>
  <CharactersWithSpaces>17701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FY2015 MCoC NOFA APPLICATION WORK PLAN</dc:title>
  <dc:creator>Scott Tibbitts</dc:creator>
  <cp:lastModifiedBy>Amy Grommes Pulaski</cp:lastModifiedBy>
  <cp:revision>2</cp:revision>
  <cp:lastPrinted>2016-07-08T14:28:00Z</cp:lastPrinted>
  <dcterms:created xsi:type="dcterms:W3CDTF">2016-07-12T19:04:00Z</dcterms:created>
  <dcterms:modified xsi:type="dcterms:W3CDTF">2016-07-12T19:04:00Z</dcterms:modified>
</cp:coreProperties>
</file>