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jc w:val="center"/>
        <w:tblCellSpacing w:w="0" w:type="dxa"/>
        <w:tblCellMar>
          <w:left w:w="0" w:type="dxa"/>
          <w:right w:w="0" w:type="dxa"/>
        </w:tblCellMar>
        <w:tblLook w:val="04A0" w:firstRow="1" w:lastRow="0" w:firstColumn="1" w:lastColumn="0" w:noHBand="0" w:noVBand="1"/>
      </w:tblPr>
      <w:tblGrid>
        <w:gridCol w:w="9390"/>
      </w:tblGrid>
      <w:tr w:rsidR="00A041AD" w:rsidTr="00A041AD">
        <w:trPr>
          <w:trHeight w:val="240"/>
          <w:tblCellSpacing w:w="0" w:type="dxa"/>
          <w:jc w:val="center"/>
        </w:trPr>
        <w:tc>
          <w:tcPr>
            <w:tcW w:w="0" w:type="auto"/>
            <w:shd w:val="clear" w:color="auto" w:fill="FFFFFF"/>
            <w:vAlign w:val="center"/>
            <w:hideMark/>
          </w:tcPr>
          <w:tbl>
            <w:tblPr>
              <w:tblW w:w="0" w:type="auto"/>
              <w:jc w:val="right"/>
              <w:tblCellSpacing w:w="15" w:type="dxa"/>
              <w:tblCellMar>
                <w:left w:w="0" w:type="dxa"/>
                <w:right w:w="0" w:type="dxa"/>
              </w:tblCellMar>
              <w:tblLook w:val="04A0" w:firstRow="1" w:lastRow="0" w:firstColumn="1" w:lastColumn="0" w:noHBand="0" w:noVBand="1"/>
            </w:tblPr>
            <w:tblGrid>
              <w:gridCol w:w="9390"/>
            </w:tblGrid>
            <w:tr w:rsidR="00A041AD">
              <w:trPr>
                <w:tblCellSpacing w:w="15" w:type="dxa"/>
                <w:jc w:val="right"/>
              </w:trPr>
              <w:tc>
                <w:tcPr>
                  <w:tcW w:w="0" w:type="auto"/>
                  <w:tcMar>
                    <w:top w:w="15" w:type="dxa"/>
                    <w:left w:w="15" w:type="dxa"/>
                    <w:bottom w:w="15" w:type="dxa"/>
                    <w:right w:w="15" w:type="dxa"/>
                  </w:tcMar>
                  <w:vAlign w:val="center"/>
                  <w:hideMark/>
                </w:tcPr>
                <w:p w:rsidR="00A041AD" w:rsidRDefault="00A041AD" w:rsidP="00A041AD"/>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00"/>
                  </w:tblGrid>
                  <w:tr w:rsidR="00A041AD" w:rsidTr="00A041AD">
                    <w:trPr>
                      <w:tblCellSpacing w:w="0" w:type="dxa"/>
                    </w:trPr>
                    <w:tc>
                      <w:tcPr>
                        <w:tcW w:w="0" w:type="auto"/>
                        <w:shd w:val="clear" w:color="auto" w:fill="EDEDED"/>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00"/>
                        </w:tblGrid>
                        <w:tr w:rsidR="00A041AD">
                          <w:trPr>
                            <w:trHeight w:val="240"/>
                            <w:tblCellSpacing w:w="0" w:type="dxa"/>
                            <w:jc w:val="center"/>
                          </w:trPr>
                          <w:tc>
                            <w:tcPr>
                              <w:tcW w:w="0" w:type="auto"/>
                              <w:shd w:val="clear" w:color="auto" w:fill="FFFFFF"/>
                              <w:vAlign w:val="center"/>
                              <w:hideMark/>
                            </w:tcPr>
                            <w:tbl>
                              <w:tblPr>
                                <w:tblW w:w="0" w:type="auto"/>
                                <w:jc w:val="right"/>
                                <w:tblCellSpacing w:w="15" w:type="dxa"/>
                                <w:tblCellMar>
                                  <w:left w:w="0" w:type="dxa"/>
                                  <w:right w:w="0" w:type="dxa"/>
                                </w:tblCellMar>
                                <w:tblLook w:val="04A0" w:firstRow="1" w:lastRow="0" w:firstColumn="1" w:lastColumn="0" w:noHBand="0" w:noVBand="1"/>
                              </w:tblPr>
                              <w:tblGrid>
                                <w:gridCol w:w="4125"/>
                              </w:tblGrid>
                              <w:tr w:rsidR="00A041AD">
                                <w:trPr>
                                  <w:tblCellSpacing w:w="15" w:type="dxa"/>
                                  <w:jc w:val="right"/>
                                </w:trPr>
                                <w:tc>
                                  <w:tcPr>
                                    <w:tcW w:w="0" w:type="auto"/>
                                    <w:tcMar>
                                      <w:top w:w="15" w:type="dxa"/>
                                      <w:left w:w="15" w:type="dxa"/>
                                      <w:bottom w:w="15" w:type="dxa"/>
                                      <w:right w:w="15" w:type="dxa"/>
                                    </w:tcMar>
                                    <w:vAlign w:val="center"/>
                                    <w:hideMark/>
                                  </w:tcPr>
                                  <w:p w:rsidR="00A041AD" w:rsidRDefault="00A041AD">
                                    <w:pPr>
                                      <w:rPr>
                                        <w:rFonts w:ascii="Arial" w:hAnsi="Arial" w:cs="Arial"/>
                                        <w:color w:val="4C4C4C"/>
                                        <w:sz w:val="15"/>
                                        <w:szCs w:val="15"/>
                                      </w:rPr>
                                    </w:pPr>
                                    <w:r>
                                      <w:rPr>
                                        <w:rFonts w:ascii="Arial" w:hAnsi="Arial" w:cs="Arial"/>
                                        <w:color w:val="4C4C4C"/>
                                        <w:sz w:val="15"/>
                                        <w:szCs w:val="15"/>
                                      </w:rPr>
                                      <w:t xml:space="preserve">Is this email not displaying correctly? </w:t>
                                    </w:r>
                                    <w:hyperlink r:id="rId8" w:tgtFrame="_blank" w:history="1">
                                      <w:r>
                                        <w:rPr>
                                          <w:rStyle w:val="Hyperlink"/>
                                          <w:rFonts w:ascii="Arial" w:hAnsi="Arial" w:cs="Arial"/>
                                          <w:color w:val="4C4C4C"/>
                                          <w:sz w:val="15"/>
                                          <w:szCs w:val="15"/>
                                        </w:rPr>
                                        <w:t>View it in your browser</w:t>
                                      </w:r>
                                    </w:hyperlink>
                                    <w:r>
                                      <w:rPr>
                                        <w:rFonts w:ascii="Arial" w:hAnsi="Arial" w:cs="Arial"/>
                                        <w:color w:val="4C4C4C"/>
                                        <w:sz w:val="15"/>
                                        <w:szCs w:val="15"/>
                                      </w:rPr>
                                      <w:t xml:space="preserve">. </w:t>
                                    </w:r>
                                  </w:p>
                                </w:tc>
                              </w:tr>
                            </w:tbl>
                            <w:p w:rsidR="00A041AD" w:rsidRDefault="00A041AD">
                              <w:pPr>
                                <w:jc w:val="right"/>
                                <w:rPr>
                                  <w:rFonts w:eastAsia="Times New Roman"/>
                                  <w:sz w:val="20"/>
                                  <w:szCs w:val="20"/>
                                </w:rPr>
                              </w:pPr>
                            </w:p>
                          </w:tc>
                        </w:tr>
                        <w:tr w:rsidR="00A041AD">
                          <w:trPr>
                            <w:tblCellSpacing w:w="0" w:type="dxa"/>
                            <w:jc w:val="center"/>
                          </w:trPr>
                          <w:tc>
                            <w:tcPr>
                              <w:tcW w:w="0" w:type="auto"/>
                              <w:shd w:val="clear" w:color="auto" w:fill="41AED1"/>
                              <w:vAlign w:val="center"/>
                              <w:hideMark/>
                            </w:tcPr>
                            <w:tbl>
                              <w:tblPr>
                                <w:tblW w:w="9000" w:type="dxa"/>
                                <w:tblCellSpacing w:w="0" w:type="dxa"/>
                                <w:tblCellMar>
                                  <w:left w:w="0" w:type="dxa"/>
                                  <w:right w:w="0" w:type="dxa"/>
                                </w:tblCellMar>
                                <w:tblLook w:val="04A0" w:firstRow="1" w:lastRow="0" w:firstColumn="1" w:lastColumn="0" w:noHBand="0" w:noVBand="1"/>
                              </w:tblPr>
                              <w:tblGrid>
                                <w:gridCol w:w="660"/>
                                <w:gridCol w:w="1200"/>
                                <w:gridCol w:w="7440"/>
                              </w:tblGrid>
                              <w:tr w:rsidR="00A041AD">
                                <w:trPr>
                                  <w:tblCellSpacing w:w="0" w:type="dxa"/>
                                </w:trPr>
                                <w:tc>
                                  <w:tcPr>
                                    <w:tcW w:w="645" w:type="dxa"/>
                                    <w:vAlign w:val="center"/>
                                    <w:hideMark/>
                                  </w:tcPr>
                                  <w:p w:rsidR="00A041AD" w:rsidRDefault="00A041AD">
                                    <w:r>
                                      <w:rPr>
                                        <w:noProof/>
                                      </w:rPr>
                                      <w:drawing>
                                        <wp:inline distT="0" distB="0" distL="0" distR="0" wp14:anchorId="73666812" wp14:editId="3AB37340">
                                          <wp:extent cx="409575" cy="962025"/>
                                          <wp:effectExtent l="0" t="0" r="9525" b="9525"/>
                                          <wp:docPr id="21" name="Picture 21" descr="http://gallery.mailchimp.com/87d7c8afc03ba69ee70d865b9/images/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allery.mailchimp.com/87d7c8afc03ba69ee70d865b9/images/top_lef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962025"/>
                                                  </a:xfrm>
                                                  <a:prstGeom prst="rect">
                                                    <a:avLst/>
                                                  </a:prstGeom>
                                                  <a:noFill/>
                                                  <a:ln>
                                                    <a:noFill/>
                                                  </a:ln>
                                                </pic:spPr>
                                              </pic:pic>
                                            </a:graphicData>
                                          </a:graphic>
                                        </wp:inline>
                                      </w:drawing>
                                    </w:r>
                                  </w:p>
                                </w:tc>
                                <w:tc>
                                  <w:tcPr>
                                    <w:tcW w:w="1200" w:type="dxa"/>
                                    <w:vAlign w:val="center"/>
                                    <w:hideMark/>
                                  </w:tcPr>
                                  <w:p w:rsidR="00A041AD" w:rsidRDefault="00A041AD">
                                    <w:r>
                                      <w:rPr>
                                        <w:noProof/>
                                        <w:color w:val="0000FF"/>
                                      </w:rPr>
                                      <w:drawing>
                                        <wp:inline distT="0" distB="0" distL="0" distR="0" wp14:anchorId="115929B5" wp14:editId="24A1B4DC">
                                          <wp:extent cx="762000" cy="962025"/>
                                          <wp:effectExtent l="0" t="0" r="0" b="9525"/>
                                          <wp:docPr id="20" name="Picture 20" descr="U.S. Department of Housing and Urban Development">
                                            <a:hlinkClick xmlns:a="http://schemas.openxmlformats.org/drawingml/2006/main" r:id="rId10" tgtFrame="_blank" tooltip="U.S. Department of Housing and Urban Develop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 Department of Housing and Urban Develop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p>
                                </w:tc>
                                <w:tc>
                                  <w:tcPr>
                                    <w:tcW w:w="0" w:type="auto"/>
                                    <w:vAlign w:val="center"/>
                                    <w:hideMark/>
                                  </w:tcPr>
                                  <w:p w:rsidR="00A041AD" w:rsidRDefault="00A041AD">
                                    <w:r>
                                      <w:rPr>
                                        <w:noProof/>
                                      </w:rPr>
                                      <w:drawing>
                                        <wp:inline distT="0" distB="0" distL="0" distR="0" wp14:anchorId="6AA426EC" wp14:editId="3676251E">
                                          <wp:extent cx="4724400" cy="962025"/>
                                          <wp:effectExtent l="0" t="0" r="0" b="9525"/>
                                          <wp:docPr id="19" name="Picture 19" descr="HUD Exchange Mailing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UD Exchange Mailing Li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962025"/>
                                                  </a:xfrm>
                                                  <a:prstGeom prst="rect">
                                                    <a:avLst/>
                                                  </a:prstGeom>
                                                  <a:noFill/>
                                                  <a:ln>
                                                    <a:noFill/>
                                                  </a:ln>
                                                </pic:spPr>
                                              </pic:pic>
                                            </a:graphicData>
                                          </a:graphic>
                                        </wp:inline>
                                      </w:drawing>
                                    </w:r>
                                  </w:p>
                                </w:tc>
                              </w:tr>
                            </w:tbl>
                            <w:p w:rsidR="00A041AD" w:rsidRDefault="00A041AD">
                              <w:pPr>
                                <w:rPr>
                                  <w:rFonts w:eastAsia="Times New Roman"/>
                                  <w:sz w:val="20"/>
                                  <w:szCs w:val="20"/>
                                </w:rPr>
                              </w:pPr>
                            </w:p>
                          </w:tc>
                        </w:tr>
                        <w:tr w:rsidR="00A041AD">
                          <w:trPr>
                            <w:tblCellSpacing w:w="0" w:type="dxa"/>
                            <w:jc w:val="center"/>
                          </w:trPr>
                          <w:tc>
                            <w:tcPr>
                              <w:tcW w:w="0" w:type="auto"/>
                              <w:vAlign w:val="center"/>
                              <w:hideMark/>
                            </w:tcPr>
                            <w:p w:rsidR="00A041AD" w:rsidRDefault="00A041AD">
                              <w:pPr>
                                <w:rPr>
                                  <w:rFonts w:eastAsia="Times New Roman"/>
                                  <w:sz w:val="20"/>
                                  <w:szCs w:val="20"/>
                                </w:rPr>
                              </w:pPr>
                            </w:p>
                          </w:tc>
                        </w:tr>
                        <w:tr w:rsidR="00A041AD">
                          <w:trPr>
                            <w:tblCellSpacing w:w="0" w:type="dxa"/>
                            <w:jc w:val="center"/>
                          </w:trPr>
                          <w:tc>
                            <w:tcPr>
                              <w:tcW w:w="0" w:type="auto"/>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540"/>
                                <w:gridCol w:w="7800"/>
                                <w:gridCol w:w="660"/>
                              </w:tblGrid>
                              <w:tr w:rsidR="00A041AD">
                                <w:trPr>
                                  <w:tblCellSpacing w:w="0" w:type="dxa"/>
                                </w:trPr>
                                <w:tc>
                                  <w:tcPr>
                                    <w:tcW w:w="540" w:type="dxa"/>
                                    <w:vAlign w:val="center"/>
                                    <w:hideMark/>
                                  </w:tcPr>
                                  <w:p w:rsidR="00A041AD" w:rsidRDefault="00A041AD">
                                    <w:r>
                                      <w:t> </w:t>
                                    </w:r>
                                  </w:p>
                                </w:tc>
                                <w:tc>
                                  <w:tcPr>
                                    <w:tcW w:w="7800" w:type="dxa"/>
                                    <w:hideMark/>
                                  </w:tcPr>
                                  <w:tbl>
                                    <w:tblPr>
                                      <w:tblW w:w="7650" w:type="dxa"/>
                                      <w:tblCellSpacing w:w="0" w:type="dxa"/>
                                      <w:tblCellMar>
                                        <w:left w:w="0" w:type="dxa"/>
                                        <w:right w:w="0" w:type="dxa"/>
                                      </w:tblCellMar>
                                      <w:tblLook w:val="04A0" w:firstRow="1" w:lastRow="0" w:firstColumn="1" w:lastColumn="0" w:noHBand="0" w:noVBand="1"/>
                                    </w:tblPr>
                                    <w:tblGrid>
                                      <w:gridCol w:w="7650"/>
                                    </w:tblGrid>
                                    <w:tr w:rsidR="00A041AD">
                                      <w:trPr>
                                        <w:tblCellSpacing w:w="0" w:type="dxa"/>
                                      </w:trPr>
                                      <w:tc>
                                        <w:tcPr>
                                          <w:tcW w:w="0" w:type="auto"/>
                                          <w:vAlign w:val="center"/>
                                          <w:hideMark/>
                                        </w:tcPr>
                                        <w:p w:rsidR="00A041AD" w:rsidRDefault="00A041AD">
                                          <w:pPr>
                                            <w:pStyle w:val="Heading2"/>
                                            <w:rPr>
                                              <w:rFonts w:ascii="Arial" w:eastAsia="Times New Roman" w:hAnsi="Arial" w:cs="Arial"/>
                                              <w:color w:val="403E3A"/>
                                            </w:rPr>
                                          </w:pPr>
                                          <w:r w:rsidRPr="00A041AD">
                                            <w:rPr>
                                              <w:rFonts w:ascii="Arial" w:eastAsia="Times New Roman" w:hAnsi="Arial" w:cs="Arial"/>
                                              <w:color w:val="403E3A"/>
                                              <w:sz w:val="32"/>
                                            </w:rPr>
                                            <w:t xml:space="preserve">SNAPS </w:t>
                                          </w:r>
                                          <w:proofErr w:type="gramStart"/>
                                          <w:r w:rsidRPr="00A041AD">
                                            <w:rPr>
                                              <w:rFonts w:ascii="Arial" w:eastAsia="Times New Roman" w:hAnsi="Arial" w:cs="Arial"/>
                                              <w:color w:val="403E3A"/>
                                              <w:sz w:val="32"/>
                                            </w:rPr>
                                            <w:t>In</w:t>
                                          </w:r>
                                          <w:proofErr w:type="gramEnd"/>
                                          <w:r w:rsidRPr="00A041AD">
                                            <w:rPr>
                                              <w:rFonts w:ascii="Arial" w:eastAsia="Times New Roman" w:hAnsi="Arial" w:cs="Arial"/>
                                              <w:color w:val="403E3A"/>
                                              <w:sz w:val="32"/>
                                            </w:rPr>
                                            <w:t xml:space="preserve"> Focus: Final Rule on Defining “Chronically Homeless” Part I: How We Got Here</w:t>
                                          </w:r>
                                        </w:p>
                                      </w:tc>
                                    </w:tr>
                                    <w:tr w:rsidR="00A041AD">
                                      <w:trPr>
                                        <w:trHeight w:val="15"/>
                                        <w:tblCellSpacing w:w="0" w:type="dxa"/>
                                      </w:trPr>
                                      <w:tc>
                                        <w:tcPr>
                                          <w:tcW w:w="0" w:type="auto"/>
                                          <w:vAlign w:val="center"/>
                                          <w:hideMark/>
                                        </w:tcPr>
                                        <w:p w:rsidR="00A041AD" w:rsidRDefault="00A041AD">
                                          <w:pPr>
                                            <w:rPr>
                                              <w:rFonts w:eastAsia="Times New Roman"/>
                                              <w:sz w:val="20"/>
                                              <w:szCs w:val="20"/>
                                            </w:rPr>
                                          </w:pPr>
                                        </w:p>
                                      </w:tc>
                                    </w:tr>
                                    <w:tr w:rsidR="00A041AD">
                                      <w:trPr>
                                        <w:tblCellSpacing w:w="0" w:type="dxa"/>
                                      </w:trPr>
                                      <w:tc>
                                        <w:tcPr>
                                          <w:tcW w:w="0" w:type="auto"/>
                                          <w:vAlign w:val="center"/>
                                          <w:hideMark/>
                                        </w:tcPr>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 xml:space="preserve">Tomorrow, the Final Rule on Defining “Chronically Homeless” will be published in the Federal Register with an effective date of January 15, 2016. It is available for public inspection in the </w:t>
                                          </w:r>
                                          <w:hyperlink r:id="rId13" w:history="1">
                                            <w:r>
                                              <w:rPr>
                                                <w:rStyle w:val="Hyperlink"/>
                                                <w:rFonts w:ascii="Arial" w:hAnsi="Arial" w:cs="Arial"/>
                                                <w:sz w:val="21"/>
                                                <w:szCs w:val="21"/>
                                              </w:rPr>
                                              <w:t>Federal Register</w:t>
                                            </w:r>
                                          </w:hyperlink>
                                          <w:r>
                                            <w:rPr>
                                              <w:rFonts w:ascii="Arial" w:hAnsi="Arial" w:cs="Arial"/>
                                              <w:color w:val="504B4C"/>
                                              <w:sz w:val="21"/>
                                              <w:szCs w:val="21"/>
                                            </w:rPr>
                                            <w:t xml:space="preserve"> today. It has been a long road getting to this final definition, and we think it is important as we release this rule to provide some context on how we got here and explain why we made the decisions we made. Today’s message is the first of two messages about the rule and focuses more on the process we used to develop the final definition. Next week you will hear from my Senior Advisor, Marcy Thompson, who heads up our efforts on chronic homelessness and had the responsibility of getting the final rule completed. Her message will focus on what we think this new definition will mean for the work that you do.</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While ending chronic homelessness has been a goal since the early 2000s, with better data we have only more recently begun to understand how people meet the definition and how the definition impacts the way programs operate at the local level. We assumed that most people met the definition of chronic homelessness based on long and continuous periods of homelessness rather than the episodic pattern of homelessness. However, when HUD and the U.S. Interagency Council on Homelessness (USICH) examined the data in 2012, we found that communities were identifying many more people who met the definition based on having experienced four or more episodes (now referred to as “occasions”) instead of the long and continuous periods as we had assumed.</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 xml:space="preserve">At that point we had already made our first attempt at proposing a new definition of chronically homeless - it proposed that each </w:t>
                                          </w:r>
                                          <w:r>
                                            <w:rPr>
                                              <w:rStyle w:val="Emphasis"/>
                                              <w:rFonts w:ascii="Arial" w:hAnsi="Arial" w:cs="Arial"/>
                                              <w:color w:val="504B4C"/>
                                              <w:sz w:val="21"/>
                                              <w:szCs w:val="21"/>
                                            </w:rPr>
                                            <w:t>occasion</w:t>
                                          </w:r>
                                          <w:r>
                                            <w:rPr>
                                              <w:rFonts w:ascii="Arial" w:hAnsi="Arial" w:cs="Arial"/>
                                              <w:color w:val="504B4C"/>
                                              <w:sz w:val="21"/>
                                              <w:szCs w:val="21"/>
                                            </w:rPr>
                                            <w:t xml:space="preserve"> of homelessness include a total of at least 15 consecutive days. Technically, this would have allowed someone to be considered chronically homeless in as few as 60 days over a period of 3 years while someone experiencing homelessness </w:t>
                                          </w:r>
                                          <w:r>
                                            <w:rPr>
                                              <w:rStyle w:val="Emphasis"/>
                                              <w:rFonts w:ascii="Arial" w:hAnsi="Arial" w:cs="Arial"/>
                                              <w:color w:val="504B4C"/>
                                              <w:sz w:val="21"/>
                                              <w:szCs w:val="21"/>
                                            </w:rPr>
                                            <w:t>continuously</w:t>
                                          </w:r>
                                          <w:r>
                                            <w:rPr>
                                              <w:rFonts w:ascii="Arial" w:hAnsi="Arial" w:cs="Arial"/>
                                              <w:color w:val="504B4C"/>
                                              <w:sz w:val="21"/>
                                              <w:szCs w:val="21"/>
                                            </w:rPr>
                                            <w:t xml:space="preserve"> would have to be homeless for at least 12 months consecutively. Taking into consideration comments we received and what we were learning about the nature of chronic homelessness we realized that we needed to take a step back and reconsider what we were trying to accomplish with this new definition.</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 xml:space="preserve">In May 2012, we convened a group of experts—providers, researchers, and advocates—to get varying perspectives on how we could use the definition to better ensure that we were really focusing on those persons with disabilities whose homelessness had been persistent. At the conclusion of that meeting there was almost unanimous agreement that the definition should require a minimum of 12 months </w:t>
                                          </w:r>
                                          <w:r>
                                            <w:rPr>
                                              <w:rStyle w:val="Emphasis"/>
                                              <w:rFonts w:ascii="Arial" w:hAnsi="Arial" w:cs="Arial"/>
                                              <w:color w:val="504B4C"/>
                                              <w:sz w:val="21"/>
                                              <w:szCs w:val="21"/>
                                            </w:rPr>
                                            <w:t>either continuously or cumulatively</w:t>
                                          </w:r>
                                          <w:r>
                                            <w:rPr>
                                              <w:rFonts w:ascii="Arial" w:hAnsi="Arial" w:cs="Arial"/>
                                              <w:color w:val="504B4C"/>
                                              <w:sz w:val="21"/>
                                              <w:szCs w:val="21"/>
                                            </w:rPr>
                                            <w:t xml:space="preserve">. That discussion planted the seed that would become the definition included in the final rule. In early 2013, HUD again requested public comment on a proposed definition of chronically homeless that would have required the four occasions to total 12 months cumulatively. We </w:t>
                                          </w:r>
                                          <w:r>
                                            <w:rPr>
                                              <w:rFonts w:ascii="Arial" w:hAnsi="Arial" w:cs="Arial"/>
                                              <w:color w:val="504B4C"/>
                                              <w:sz w:val="21"/>
                                              <w:szCs w:val="21"/>
                                            </w:rPr>
                                            <w:lastRenderedPageBreak/>
                                            <w:t>received 177 public comments about the proposed definition. The preamble in the final rule available today includes the comments that were received and how each was addressed, and explains HUD’s policy reasons for the decisions we made.</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Following is a summary of the most significant changes between the definition of chronically homeless currently in effect and the definition included in the final rule:</w:t>
                                          </w:r>
                                        </w:p>
                                        <w:p w:rsidR="00A041AD" w:rsidRDefault="00A041AD" w:rsidP="0078329F">
                                          <w:pPr>
                                            <w:numPr>
                                              <w:ilvl w:val="0"/>
                                              <w:numId w:val="1"/>
                                            </w:numPr>
                                            <w:spacing w:before="100" w:beforeAutospacing="1" w:after="100" w:afterAutospacing="1" w:line="270" w:lineRule="atLeast"/>
                                            <w:rPr>
                                              <w:rFonts w:ascii="Arial" w:eastAsia="Times New Roman" w:hAnsi="Arial" w:cs="Arial"/>
                                              <w:color w:val="504B4C"/>
                                              <w:sz w:val="21"/>
                                              <w:szCs w:val="21"/>
                                            </w:rPr>
                                          </w:pPr>
                                          <w:r>
                                            <w:rPr>
                                              <w:rFonts w:ascii="Arial" w:eastAsia="Times New Roman" w:hAnsi="Arial" w:cs="Arial"/>
                                              <w:color w:val="504B4C"/>
                                              <w:sz w:val="21"/>
                                              <w:szCs w:val="21"/>
                                            </w:rPr>
                                            <w:t xml:space="preserve">To be considered chronically homeless, a person must have a disability and have been living in a place not meant for human habitation, in an emergency shelter, or a safe haven for the last 12 months continuously </w:t>
                                          </w:r>
                                          <w:r>
                                            <w:rPr>
                                              <w:rStyle w:val="Emphasis"/>
                                              <w:rFonts w:ascii="Arial" w:eastAsia="Times New Roman" w:hAnsi="Arial" w:cs="Arial"/>
                                              <w:color w:val="504B4C"/>
                                              <w:sz w:val="21"/>
                                              <w:szCs w:val="21"/>
                                            </w:rPr>
                                            <w:t xml:space="preserve">or </w:t>
                                          </w:r>
                                          <w:r>
                                            <w:rPr>
                                              <w:rFonts w:ascii="Arial" w:eastAsia="Times New Roman" w:hAnsi="Arial" w:cs="Arial"/>
                                              <w:color w:val="504B4C"/>
                                              <w:sz w:val="21"/>
                                              <w:szCs w:val="21"/>
                                            </w:rPr>
                                            <w:t xml:space="preserve">on at least four occasions in the last three years </w:t>
                                          </w:r>
                                          <w:r>
                                            <w:rPr>
                                              <w:rStyle w:val="Emphasis"/>
                                              <w:rFonts w:ascii="Arial" w:eastAsia="Times New Roman" w:hAnsi="Arial" w:cs="Arial"/>
                                              <w:b/>
                                              <w:bCs/>
                                              <w:color w:val="504B4C"/>
                                              <w:sz w:val="21"/>
                                              <w:szCs w:val="21"/>
                                            </w:rPr>
                                            <w:t>where those occasions cumulatively total at least 12 months</w:t>
                                          </w:r>
                                          <w:r>
                                            <w:rPr>
                                              <w:rFonts w:ascii="Arial" w:eastAsia="Times New Roman" w:hAnsi="Arial" w:cs="Arial"/>
                                              <w:color w:val="504B4C"/>
                                              <w:sz w:val="21"/>
                                              <w:szCs w:val="21"/>
                                            </w:rPr>
                                            <w:t>;</w:t>
                                          </w:r>
                                        </w:p>
                                        <w:p w:rsidR="00A041AD" w:rsidRDefault="00A041AD" w:rsidP="0078329F">
                                          <w:pPr>
                                            <w:numPr>
                                              <w:ilvl w:val="0"/>
                                              <w:numId w:val="1"/>
                                            </w:numPr>
                                            <w:spacing w:before="100" w:beforeAutospacing="1" w:after="100" w:afterAutospacing="1" w:line="270" w:lineRule="atLeast"/>
                                            <w:rPr>
                                              <w:rFonts w:ascii="Arial" w:eastAsia="Times New Roman" w:hAnsi="Arial" w:cs="Arial"/>
                                              <w:color w:val="504B4C"/>
                                              <w:sz w:val="21"/>
                                              <w:szCs w:val="21"/>
                                            </w:rPr>
                                          </w:pPr>
                                          <w:r>
                                            <w:rPr>
                                              <w:rFonts w:ascii="Arial" w:eastAsia="Times New Roman" w:hAnsi="Arial" w:cs="Arial"/>
                                              <w:color w:val="504B4C"/>
                                              <w:sz w:val="21"/>
                                              <w:szCs w:val="21"/>
                                            </w:rPr>
                                            <w:t xml:space="preserve">Replaced “disabling condition” with “homeless </w:t>
                                          </w:r>
                                          <w:r>
                                            <w:rPr>
                                              <w:rFonts w:ascii="Arial" w:eastAsia="Times New Roman" w:hAnsi="Arial" w:cs="Arial"/>
                                              <w:color w:val="504B4C"/>
                                              <w:sz w:val="21"/>
                                              <w:szCs w:val="21"/>
                                            </w:rPr>
                                            <w:t>individual with a disability”;</w:t>
                                          </w:r>
                                        </w:p>
                                        <w:p w:rsidR="00A041AD" w:rsidRDefault="00A041AD" w:rsidP="0078329F">
                                          <w:pPr>
                                            <w:numPr>
                                              <w:ilvl w:val="0"/>
                                              <w:numId w:val="1"/>
                                            </w:numPr>
                                            <w:spacing w:before="100" w:beforeAutospacing="1" w:after="100" w:afterAutospacing="1" w:line="270" w:lineRule="atLeast"/>
                                            <w:rPr>
                                              <w:rFonts w:ascii="Arial" w:eastAsia="Times New Roman" w:hAnsi="Arial" w:cs="Arial"/>
                                              <w:color w:val="504B4C"/>
                                              <w:sz w:val="21"/>
                                              <w:szCs w:val="21"/>
                                            </w:rPr>
                                          </w:pPr>
                                          <w:r>
                                            <w:rPr>
                                              <w:rFonts w:ascii="Arial" w:eastAsia="Times New Roman" w:hAnsi="Arial" w:cs="Arial"/>
                                              <w:color w:val="504B4C"/>
                                              <w:sz w:val="21"/>
                                              <w:szCs w:val="21"/>
                                            </w:rPr>
                                            <w:t>There is not a minimum number of days in which each occasion must total but instead, occasions are defined by a break of at least seven days not residing in an emergency shelter, safe haven, or residing in a pla</w:t>
                                          </w:r>
                                          <w:r>
                                            <w:rPr>
                                              <w:rFonts w:ascii="Arial" w:eastAsia="Times New Roman" w:hAnsi="Arial" w:cs="Arial"/>
                                              <w:color w:val="504B4C"/>
                                              <w:sz w:val="21"/>
                                              <w:szCs w:val="21"/>
                                            </w:rPr>
                                            <w:t>ce meant for human habitation;</w:t>
                                          </w:r>
                                        </w:p>
                                        <w:p w:rsidR="00A041AD" w:rsidRDefault="00A041AD" w:rsidP="0078329F">
                                          <w:pPr>
                                            <w:numPr>
                                              <w:ilvl w:val="0"/>
                                              <w:numId w:val="1"/>
                                            </w:numPr>
                                            <w:spacing w:before="100" w:beforeAutospacing="1" w:after="100" w:afterAutospacing="1" w:line="270" w:lineRule="atLeast"/>
                                            <w:rPr>
                                              <w:rFonts w:ascii="Arial" w:eastAsia="Times New Roman" w:hAnsi="Arial" w:cs="Arial"/>
                                              <w:color w:val="504B4C"/>
                                              <w:sz w:val="21"/>
                                              <w:szCs w:val="21"/>
                                            </w:rPr>
                                          </w:pPr>
                                          <w:r>
                                            <w:rPr>
                                              <w:rFonts w:ascii="Arial" w:eastAsia="Times New Roman" w:hAnsi="Arial" w:cs="Arial"/>
                                              <w:color w:val="504B4C"/>
                                              <w:sz w:val="21"/>
                                              <w:szCs w:val="21"/>
                                            </w:rPr>
                                            <w:t>Stays in institutions of fewer than 90 days do not constitute a break and count t</w:t>
                                          </w:r>
                                          <w:r>
                                            <w:rPr>
                                              <w:rFonts w:ascii="Arial" w:eastAsia="Times New Roman" w:hAnsi="Arial" w:cs="Arial"/>
                                              <w:color w:val="504B4C"/>
                                              <w:sz w:val="21"/>
                                              <w:szCs w:val="21"/>
                                            </w:rPr>
                                            <w:t>oward total time homeless; and</w:t>
                                          </w:r>
                                        </w:p>
                                        <w:p w:rsidR="00A041AD" w:rsidRDefault="00A041AD" w:rsidP="0078329F">
                                          <w:pPr>
                                            <w:numPr>
                                              <w:ilvl w:val="0"/>
                                              <w:numId w:val="1"/>
                                            </w:numPr>
                                            <w:spacing w:before="100" w:beforeAutospacing="1" w:after="100" w:afterAutospacing="1" w:line="270" w:lineRule="atLeast"/>
                                            <w:rPr>
                                              <w:rFonts w:ascii="Arial" w:eastAsia="Times New Roman" w:hAnsi="Arial" w:cs="Arial"/>
                                              <w:color w:val="504B4C"/>
                                              <w:sz w:val="21"/>
                                              <w:szCs w:val="21"/>
                                            </w:rPr>
                                          </w:pPr>
                                          <w:r>
                                            <w:rPr>
                                              <w:rFonts w:ascii="Arial" w:eastAsia="Times New Roman" w:hAnsi="Arial" w:cs="Arial"/>
                                              <w:color w:val="504B4C"/>
                                              <w:sz w:val="21"/>
                                              <w:szCs w:val="21"/>
                                            </w:rPr>
                                            <w:t xml:space="preserve">The final rule establishes recordkeeping requirements for documenting chronic homelessness that take into account how providers use Homeless Management Information Systems (HMIS) and that </w:t>
                                          </w:r>
                                          <w:r>
                                            <w:rPr>
                                              <w:rStyle w:val="Emphasis"/>
                                              <w:rFonts w:ascii="Arial" w:eastAsia="Times New Roman" w:hAnsi="Arial" w:cs="Arial"/>
                                              <w:color w:val="504B4C"/>
                                              <w:sz w:val="21"/>
                                              <w:szCs w:val="21"/>
                                            </w:rPr>
                                            <w:t>does not</w:t>
                                          </w:r>
                                          <w:r>
                                            <w:rPr>
                                              <w:rFonts w:ascii="Arial" w:eastAsia="Times New Roman" w:hAnsi="Arial" w:cs="Arial"/>
                                              <w:color w:val="504B4C"/>
                                              <w:sz w:val="21"/>
                                              <w:szCs w:val="21"/>
                                            </w:rPr>
                                            <w:t xml:space="preserve"> require documentation of each day of homelessness but a method that can be more easily implemented.</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We understand that implementing this new definition will have a significant impact in communities. Beginning January 15, 2016 when the new definition goes into effect, any persons served in permanent supportive housing (PSH) that is required to serve persons that are chronically homeless (either dedicated or prioritized) may only accept new participants that meet this definition. Program participants who are already residing in these programs will not be affected.</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In the coming weeks, we will be offering multiple webinars to ensure that all Continuums of Care (</w:t>
                                          </w:r>
                                          <w:proofErr w:type="spellStart"/>
                                          <w:r>
                                            <w:rPr>
                                              <w:rFonts w:ascii="Arial" w:hAnsi="Arial" w:cs="Arial"/>
                                              <w:color w:val="504B4C"/>
                                              <w:sz w:val="21"/>
                                              <w:szCs w:val="21"/>
                                            </w:rPr>
                                            <w:t>CoCs</w:t>
                                          </w:r>
                                          <w:proofErr w:type="spellEnd"/>
                                          <w:r>
                                            <w:rPr>
                                              <w:rFonts w:ascii="Arial" w:hAnsi="Arial" w:cs="Arial"/>
                                              <w:color w:val="504B4C"/>
                                              <w:sz w:val="21"/>
                                              <w:szCs w:val="21"/>
                                            </w:rPr>
                                            <w:t xml:space="preserve">), recipients of CoC Program-funded PSH, and other stakeholders have the opportunity to hear more about the definition and what HUD expects. We will send out a listserv with information about those dates and how to register. A new help desk is now available for questions specific to the definition of chronically homeless. Those questions can be submitted through the HUD Exchange </w:t>
                                          </w:r>
                                          <w:hyperlink r:id="rId14" w:history="1">
                                            <w:r>
                                              <w:rPr>
                                                <w:rStyle w:val="Hyperlink"/>
                                                <w:rFonts w:ascii="Arial" w:hAnsi="Arial" w:cs="Arial"/>
                                                <w:sz w:val="21"/>
                                                <w:szCs w:val="21"/>
                                              </w:rPr>
                                              <w:t>Ask A Question (AAQ) Portal</w:t>
                                            </w:r>
                                          </w:hyperlink>
                                          <w:r>
                                            <w:rPr>
                                              <w:rFonts w:ascii="Arial" w:hAnsi="Arial" w:cs="Arial"/>
                                              <w:color w:val="504B4C"/>
                                              <w:sz w:val="21"/>
                                              <w:szCs w:val="21"/>
                                            </w:rPr>
                                            <w:t>. Select “CoC: Continuum of Care Program” from the “My question is related to” drop down list on Step 2 of the question submission process and type “Chronically Homeless Definition” in the subject line.</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Thank you, as always, for your efforts to end homelessness.</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Ann Oliva</w:t>
                                          </w:r>
                                          <w:r>
                                            <w:rPr>
                                              <w:rFonts w:ascii="Arial" w:hAnsi="Arial" w:cs="Arial"/>
                                              <w:color w:val="504B4C"/>
                                              <w:sz w:val="21"/>
                                              <w:szCs w:val="21"/>
                                            </w:rPr>
                                            <w:br/>
                                            <w:t>Deputy Assistant Secretary for Special Needs</w:t>
                                          </w:r>
                                        </w:p>
                                        <w:p w:rsidR="00A041AD" w:rsidRDefault="00A041AD">
                                          <w:pPr>
                                            <w:pStyle w:val="NormalWeb"/>
                                            <w:spacing w:line="270" w:lineRule="atLeast"/>
                                            <w:rPr>
                                              <w:rFonts w:ascii="Arial" w:hAnsi="Arial" w:cs="Arial"/>
                                              <w:color w:val="504B4C"/>
                                              <w:sz w:val="21"/>
                                              <w:szCs w:val="21"/>
                                            </w:rPr>
                                          </w:pPr>
                                          <w:hyperlink r:id="rId15" w:history="1">
                                            <w:r>
                                              <w:rPr>
                                                <w:rStyle w:val="Hyperlink"/>
                                                <w:rFonts w:ascii="Arial" w:hAnsi="Arial" w:cs="Arial"/>
                                                <w:sz w:val="21"/>
                                                <w:szCs w:val="21"/>
                                              </w:rPr>
                                              <w:t>Download this SNAPS In Focus: Final Rule on Defining Chronically Homeless Part I: How We G</w:t>
                                            </w:r>
                                            <w:bookmarkStart w:id="0" w:name="_GoBack"/>
                                            <w:bookmarkEnd w:id="0"/>
                                            <w:r>
                                              <w:rPr>
                                                <w:rStyle w:val="Hyperlink"/>
                                                <w:rFonts w:ascii="Arial" w:hAnsi="Arial" w:cs="Arial"/>
                                                <w:sz w:val="21"/>
                                                <w:szCs w:val="21"/>
                                              </w:rPr>
                                              <w:t>ot Here</w:t>
                                            </w:r>
                                          </w:hyperlink>
                                        </w:p>
                                        <w:p w:rsidR="00A041AD" w:rsidRDefault="00A041AD">
                                          <w:pPr>
                                            <w:pStyle w:val="NormalWeb"/>
                                            <w:spacing w:line="270" w:lineRule="atLeast"/>
                                            <w:rPr>
                                              <w:rFonts w:ascii="Arial" w:hAnsi="Arial" w:cs="Arial"/>
                                              <w:color w:val="504B4C"/>
                                              <w:sz w:val="21"/>
                                              <w:szCs w:val="21"/>
                                            </w:rPr>
                                          </w:pPr>
                                          <w:hyperlink r:id="rId16" w:history="1">
                                            <w:r>
                                              <w:rPr>
                                                <w:rStyle w:val="Hyperlink"/>
                                                <w:rFonts w:ascii="Arial" w:hAnsi="Arial" w:cs="Arial"/>
                                                <w:sz w:val="21"/>
                                                <w:szCs w:val="21"/>
                                              </w:rPr>
                                              <w:t>View SNAPS In Focus Messages</w:t>
                                            </w:r>
                                          </w:hyperlink>
                                        </w:p>
                                      </w:tc>
                                    </w:tr>
                                  </w:tbl>
                                  <w:p w:rsidR="00A041AD" w:rsidRDefault="00A041AD">
                                    <w:pPr>
                                      <w:rPr>
                                        <w:rFonts w:eastAsia="Times New Roman"/>
                                        <w:sz w:val="20"/>
                                        <w:szCs w:val="20"/>
                                      </w:rPr>
                                    </w:pPr>
                                  </w:p>
                                </w:tc>
                                <w:tc>
                                  <w:tcPr>
                                    <w:tcW w:w="660" w:type="dxa"/>
                                    <w:vAlign w:val="center"/>
                                    <w:hideMark/>
                                  </w:tcPr>
                                  <w:p w:rsidR="00A041AD" w:rsidRDefault="00A041AD">
                                    <w:r>
                                      <w:lastRenderedPageBreak/>
                                      <w:t> </w:t>
                                    </w:r>
                                  </w:p>
                                </w:tc>
                              </w:tr>
                            </w:tbl>
                            <w:p w:rsidR="00A041AD" w:rsidRDefault="00A041AD">
                              <w:pPr>
                                <w:rPr>
                                  <w:rFonts w:eastAsia="Times New Roman"/>
                                  <w:sz w:val="20"/>
                                  <w:szCs w:val="20"/>
                                </w:rPr>
                              </w:pPr>
                            </w:p>
                          </w:tc>
                        </w:tr>
                        <w:tr w:rsidR="00A041AD">
                          <w:trPr>
                            <w:trHeight w:val="435"/>
                            <w:tblCellSpacing w:w="0" w:type="dxa"/>
                            <w:jc w:val="center"/>
                          </w:trPr>
                          <w:tc>
                            <w:tcPr>
                              <w:tcW w:w="0" w:type="auto"/>
                              <w:shd w:val="clear" w:color="auto" w:fill="FFFFFF"/>
                              <w:vAlign w:val="center"/>
                              <w:hideMark/>
                            </w:tcPr>
                            <w:p w:rsidR="00A041AD" w:rsidRDefault="00A041AD">
                              <w:pPr>
                                <w:rPr>
                                  <w:rFonts w:eastAsia="Times New Roman"/>
                                  <w:sz w:val="20"/>
                                  <w:szCs w:val="20"/>
                                </w:rPr>
                              </w:pPr>
                            </w:p>
                          </w:tc>
                        </w:tr>
                        <w:tr w:rsidR="00A041AD">
                          <w:trPr>
                            <w:tblCellSpacing w:w="0" w:type="dxa"/>
                            <w:jc w:val="center"/>
                          </w:trPr>
                          <w:tc>
                            <w:tcPr>
                              <w:tcW w:w="0" w:type="auto"/>
                              <w:shd w:val="clear" w:color="auto" w:fill="FFFFFF"/>
                              <w:tcMar>
                                <w:top w:w="150" w:type="dxa"/>
                                <w:left w:w="150" w:type="dxa"/>
                                <w:bottom w:w="150" w:type="dxa"/>
                                <w:right w:w="150" w:type="dxa"/>
                              </w:tcMar>
                              <w:vAlign w:val="center"/>
                              <w:hideMark/>
                            </w:tcPr>
                            <w:p w:rsidR="00A041AD" w:rsidRDefault="00A041AD">
                              <w:pPr>
                                <w:jc w:val="center"/>
                              </w:pPr>
                              <w:r>
                                <w:rPr>
                                  <w:noProof/>
                                  <w:color w:val="0000FF"/>
                                </w:rPr>
                                <w:drawing>
                                  <wp:inline distT="0" distB="0" distL="0" distR="0" wp14:anchorId="6D7AD3A0" wp14:editId="1C159843">
                                    <wp:extent cx="304800" cy="304800"/>
                                    <wp:effectExtent l="0" t="0" r="0" b="0"/>
                                    <wp:docPr id="18" name="Picture 18" descr="http://gallery.mailchimp.com/87d7c8afc03ba69ee70d865b9/images/facebook.2.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allery.mailchimp.com/87d7c8afc03ba69ee70d865b9/images/facebook.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0000FF"/>
                                </w:rPr>
                                <w:drawing>
                                  <wp:inline distT="0" distB="0" distL="0" distR="0" wp14:anchorId="037F14FD" wp14:editId="3D54EECC">
                                    <wp:extent cx="304800" cy="304800"/>
                                    <wp:effectExtent l="0" t="0" r="0" b="0"/>
                                    <wp:docPr id="17" name="Picture 17" descr="http://gallery.mailchimp.com/87d7c8afc03ba69ee70d865b9/images/yoitube.2.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allery.mailchimp.com/87d7c8afc03ba69ee70d865b9/images/yoitube.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0000FF"/>
                                </w:rPr>
                                <w:drawing>
                                  <wp:inline distT="0" distB="0" distL="0" distR="0" wp14:anchorId="7E59ED7C" wp14:editId="5AF8A508">
                                    <wp:extent cx="304800" cy="304800"/>
                                    <wp:effectExtent l="0" t="0" r="0" b="0"/>
                                    <wp:docPr id="16" name="Picture 16" descr="http://gallery.mailchimp.com/87d7c8afc03ba69ee70d865b9/images/flickr.2.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allery.mailchimp.com/87d7c8afc03ba69ee70d865b9/images/flickr.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0000FF"/>
                                </w:rPr>
                                <w:drawing>
                                  <wp:inline distT="0" distB="0" distL="0" distR="0" wp14:anchorId="0FE00ED5" wp14:editId="21A5BC93">
                                    <wp:extent cx="304800" cy="304800"/>
                                    <wp:effectExtent l="0" t="0" r="0" b="0"/>
                                    <wp:docPr id="15" name="Picture 15" descr="http://gallery.mailchimp.com/87d7c8afc03ba69ee70d865b9/images/twitter.2.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allery.mailchimp.com/87d7c8afc03ba69ee70d865b9/images/twitter.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041AD">
                          <w:trPr>
                            <w:tblCellSpacing w:w="0" w:type="dxa"/>
                            <w:jc w:val="center"/>
                          </w:trPr>
                          <w:tc>
                            <w:tcPr>
                              <w:tcW w:w="0" w:type="auto"/>
                              <w:shd w:val="clear" w:color="auto" w:fill="EEEEEE"/>
                              <w:tcMar>
                                <w:top w:w="75" w:type="dxa"/>
                                <w:left w:w="75" w:type="dxa"/>
                                <w:bottom w:w="75" w:type="dxa"/>
                                <w:right w:w="75" w:type="dxa"/>
                              </w:tcMar>
                              <w:vAlign w:val="center"/>
                              <w:hideMark/>
                            </w:tcPr>
                            <w:p w:rsidR="00A041AD" w:rsidRDefault="00A041AD">
                              <w:pPr>
                                <w:jc w:val="center"/>
                              </w:pPr>
                              <w:r>
                                <w:rPr>
                                  <w:rFonts w:ascii="Arial" w:hAnsi="Arial" w:cs="Arial"/>
                                  <w:color w:val="555555"/>
                                  <w:sz w:val="18"/>
                                  <w:szCs w:val="18"/>
                                </w:rPr>
                                <w:t xml:space="preserve">Visit the HUD Exchange at </w:t>
                              </w:r>
                              <w:hyperlink r:id="rId25" w:tgtFrame="_blank" w:tooltip="https://www.hudexchange.info" w:history="1">
                                <w:r>
                                  <w:rPr>
                                    <w:rStyle w:val="Hyperlink"/>
                                    <w:rFonts w:ascii="Arial" w:hAnsi="Arial" w:cs="Arial"/>
                                    <w:color w:val="555555"/>
                                    <w:sz w:val="18"/>
                                    <w:szCs w:val="18"/>
                                  </w:rPr>
                                  <w:t>https://www.hudexchange.info</w:t>
                                </w:r>
                              </w:hyperlink>
                            </w:p>
                          </w:tc>
                        </w:tr>
                        <w:tr w:rsidR="00A041AD">
                          <w:trPr>
                            <w:tblCellSpacing w:w="0" w:type="dxa"/>
                            <w:jc w:val="center"/>
                          </w:trPr>
                          <w:tc>
                            <w:tcPr>
                              <w:tcW w:w="0" w:type="auto"/>
                              <w:shd w:val="clear" w:color="auto" w:fill="EEEEEE"/>
                              <w:vAlign w:val="center"/>
                              <w:hideMark/>
                            </w:tcPr>
                            <w:tbl>
                              <w:tblPr>
                                <w:tblW w:w="9000" w:type="dxa"/>
                                <w:tblCellSpacing w:w="0" w:type="dxa"/>
                                <w:tblCellMar>
                                  <w:left w:w="0" w:type="dxa"/>
                                  <w:right w:w="0" w:type="dxa"/>
                                </w:tblCellMar>
                                <w:tblLook w:val="04A0" w:firstRow="1" w:lastRow="0" w:firstColumn="1" w:lastColumn="0" w:noHBand="0" w:noVBand="1"/>
                              </w:tblPr>
                              <w:tblGrid>
                                <w:gridCol w:w="664"/>
                                <w:gridCol w:w="2171"/>
                                <w:gridCol w:w="663"/>
                                <w:gridCol w:w="2171"/>
                                <w:gridCol w:w="497"/>
                                <w:gridCol w:w="2171"/>
                                <w:gridCol w:w="663"/>
                              </w:tblGrid>
                              <w:tr w:rsidR="00A041AD">
                                <w:trPr>
                                  <w:trHeight w:val="75"/>
                                  <w:tblCellSpacing w:w="0" w:type="dxa"/>
                                </w:trPr>
                                <w:tc>
                                  <w:tcPr>
                                    <w:tcW w:w="0" w:type="auto"/>
                                    <w:gridSpan w:val="7"/>
                                    <w:shd w:val="clear" w:color="auto" w:fill="EEEEEE"/>
                                    <w:vAlign w:val="center"/>
                                    <w:hideMark/>
                                  </w:tcPr>
                                  <w:p w:rsidR="00A041AD" w:rsidRDefault="00A041AD">
                                    <w:pPr>
                                      <w:spacing w:line="75" w:lineRule="atLeast"/>
                                    </w:pPr>
                                    <w:r>
                                      <w:t> </w:t>
                                    </w:r>
                                  </w:p>
                                </w:tc>
                              </w:tr>
                              <w:tr w:rsidR="00A041AD">
                                <w:trPr>
                                  <w:tblCellSpacing w:w="0" w:type="dxa"/>
                                </w:trPr>
                                <w:tc>
                                  <w:tcPr>
                                    <w:tcW w:w="660" w:type="dxa"/>
                                    <w:vAlign w:val="center"/>
                                    <w:hideMark/>
                                  </w:tcPr>
                                  <w:p w:rsidR="00A041AD" w:rsidRDefault="00A041AD">
                                    <w:pPr>
                                      <w:rPr>
                                        <w:rFonts w:eastAsia="Times New Roman"/>
                                        <w:sz w:val="20"/>
                                        <w:szCs w:val="20"/>
                                      </w:rPr>
                                    </w:pPr>
                                  </w:p>
                                </w:tc>
                                <w:tc>
                                  <w:tcPr>
                                    <w:tcW w:w="2160" w:type="dxa"/>
                                    <w:vAlign w:val="center"/>
                                    <w:hideMark/>
                                  </w:tcPr>
                                  <w:p w:rsidR="00A041AD" w:rsidRDefault="00A041AD">
                                    <w:r>
                                      <w:rPr>
                                        <w:noProof/>
                                        <w:color w:val="0000FF"/>
                                      </w:rPr>
                                      <w:drawing>
                                        <wp:inline distT="0" distB="0" distL="0" distR="0" wp14:anchorId="6E4019E8" wp14:editId="2C2ED690">
                                          <wp:extent cx="1371600" cy="476250"/>
                                          <wp:effectExtent l="0" t="0" r="0" b="0"/>
                                          <wp:docPr id="14" name="Picture 14" descr="Forward to a Friend">
                                            <a:hlinkClick xmlns:a="http://schemas.openxmlformats.org/drawingml/2006/main" r:id="rId26" tgtFrame="_blank" tooltip="Forward to a Frie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ward to a Frien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tc>
                                <w:tc>
                                  <w:tcPr>
                                    <w:tcW w:w="660" w:type="dxa"/>
                                    <w:vAlign w:val="center"/>
                                    <w:hideMark/>
                                  </w:tcPr>
                                  <w:p w:rsidR="00A041AD" w:rsidRDefault="00A041AD">
                                    <w:r>
                                      <w:t> </w:t>
                                    </w:r>
                                  </w:p>
                                </w:tc>
                                <w:tc>
                                  <w:tcPr>
                                    <w:tcW w:w="2160" w:type="dxa"/>
                                    <w:vAlign w:val="center"/>
                                    <w:hideMark/>
                                  </w:tcPr>
                                  <w:p w:rsidR="00A041AD" w:rsidRDefault="00A041AD">
                                    <w:r>
                                      <w:rPr>
                                        <w:noProof/>
                                        <w:color w:val="0000FF"/>
                                      </w:rPr>
                                      <w:drawing>
                                        <wp:inline distT="0" distB="0" distL="0" distR="0" wp14:anchorId="1BEA20C4" wp14:editId="7FF7B97E">
                                          <wp:extent cx="1371600" cy="476250"/>
                                          <wp:effectExtent l="0" t="0" r="0" b="0"/>
                                          <wp:docPr id="13" name="Picture 13" descr="Update Subscription">
                                            <a:hlinkClick xmlns:a="http://schemas.openxmlformats.org/drawingml/2006/main" r:id="rId28" tgtFrame="_blank" tooltip="Update Subscrip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date Subscrip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tc>
                                <w:tc>
                                  <w:tcPr>
                                    <w:tcW w:w="495" w:type="dxa"/>
                                    <w:vAlign w:val="center"/>
                                    <w:hideMark/>
                                  </w:tcPr>
                                  <w:p w:rsidR="00A041AD" w:rsidRDefault="00A041AD">
                                    <w:r>
                                      <w:t> </w:t>
                                    </w:r>
                                  </w:p>
                                </w:tc>
                                <w:tc>
                                  <w:tcPr>
                                    <w:tcW w:w="2160" w:type="dxa"/>
                                    <w:vAlign w:val="center"/>
                                    <w:hideMark/>
                                  </w:tcPr>
                                  <w:p w:rsidR="00A041AD" w:rsidRDefault="00A041AD">
                                    <w:r>
                                      <w:rPr>
                                        <w:noProof/>
                                        <w:color w:val="0000FF"/>
                                      </w:rPr>
                                      <w:drawing>
                                        <wp:inline distT="0" distB="0" distL="0" distR="0" wp14:anchorId="5D94231D" wp14:editId="1713F19E">
                                          <wp:extent cx="1371600" cy="476250"/>
                                          <wp:effectExtent l="0" t="0" r="0" b="0"/>
                                          <wp:docPr id="12" name="Picture 12" descr="Unsubscribe from the List">
                                            <a:hlinkClick xmlns:a="http://schemas.openxmlformats.org/drawingml/2006/main" r:id="rId30" tgtFrame="_blank" tooltip="Unsubscribe from the Li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subscribe from the Lis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tc>
                                <w:tc>
                                  <w:tcPr>
                                    <w:tcW w:w="660" w:type="dxa"/>
                                    <w:vAlign w:val="center"/>
                                    <w:hideMark/>
                                  </w:tcPr>
                                  <w:p w:rsidR="00A041AD" w:rsidRDefault="00A041AD">
                                    <w:pPr>
                                      <w:rPr>
                                        <w:rFonts w:eastAsia="Times New Roman"/>
                                        <w:sz w:val="20"/>
                                        <w:szCs w:val="20"/>
                                      </w:rPr>
                                    </w:pPr>
                                  </w:p>
                                </w:tc>
                              </w:tr>
                              <w:tr w:rsidR="00A041AD">
                                <w:trPr>
                                  <w:trHeight w:val="75"/>
                                  <w:tblCellSpacing w:w="0" w:type="dxa"/>
                                </w:trPr>
                                <w:tc>
                                  <w:tcPr>
                                    <w:tcW w:w="0" w:type="auto"/>
                                    <w:gridSpan w:val="7"/>
                                    <w:shd w:val="clear" w:color="auto" w:fill="EEEEEE"/>
                                    <w:vAlign w:val="center"/>
                                    <w:hideMark/>
                                  </w:tcPr>
                                  <w:p w:rsidR="00A041AD" w:rsidRDefault="00A041AD">
                                    <w:pPr>
                                      <w:spacing w:line="75" w:lineRule="atLeast"/>
                                    </w:pPr>
                                    <w:r>
                                      <w:t> </w:t>
                                    </w:r>
                                  </w:p>
                                </w:tc>
                              </w:tr>
                              <w:tr w:rsidR="00A041AD">
                                <w:trPr>
                                  <w:trHeight w:val="150"/>
                                  <w:tblCellSpacing w:w="0" w:type="dxa"/>
                                </w:trPr>
                                <w:tc>
                                  <w:tcPr>
                                    <w:tcW w:w="0" w:type="auto"/>
                                    <w:gridSpan w:val="7"/>
                                    <w:shd w:val="clear" w:color="auto" w:fill="F07F2D"/>
                                    <w:vAlign w:val="center"/>
                                    <w:hideMark/>
                                  </w:tcPr>
                                  <w:p w:rsidR="00A041AD" w:rsidRDefault="00A041AD">
                                    <w:pPr>
                                      <w:spacing w:line="150" w:lineRule="atLeast"/>
                                    </w:pPr>
                                    <w:r>
                                      <w:t> </w:t>
                                    </w:r>
                                  </w:p>
                                </w:tc>
                              </w:tr>
                            </w:tbl>
                            <w:p w:rsidR="00A041AD" w:rsidRDefault="00A041AD">
                              <w:pPr>
                                <w:rPr>
                                  <w:rFonts w:eastAsia="Times New Roman"/>
                                  <w:sz w:val="20"/>
                                  <w:szCs w:val="20"/>
                                </w:rPr>
                              </w:pPr>
                            </w:p>
                          </w:tc>
                        </w:tr>
                        <w:tr w:rsidR="00A041AD">
                          <w:trPr>
                            <w:trHeight w:val="675"/>
                            <w:tblCellSpacing w:w="0" w:type="dxa"/>
                            <w:jc w:val="center"/>
                          </w:trPr>
                          <w:tc>
                            <w:tcPr>
                              <w:tcW w:w="0" w:type="auto"/>
                              <w:shd w:val="clear" w:color="auto" w:fill="FFFFFF"/>
                              <w:vAlign w:val="center"/>
                              <w:hideMark/>
                            </w:tcPr>
                            <w:tbl>
                              <w:tblPr>
                                <w:tblW w:w="0" w:type="auto"/>
                                <w:tblCellSpacing w:w="15" w:type="dxa"/>
                                <w:tblCellMar>
                                  <w:left w:w="0" w:type="dxa"/>
                                  <w:right w:w="0" w:type="dxa"/>
                                </w:tblCellMar>
                                <w:tblLook w:val="04A0" w:firstRow="1" w:lastRow="0" w:firstColumn="1" w:lastColumn="0" w:noHBand="0" w:noVBand="1"/>
                              </w:tblPr>
                              <w:tblGrid>
                                <w:gridCol w:w="6952"/>
                              </w:tblGrid>
                              <w:tr w:rsidR="00A041AD">
                                <w:trPr>
                                  <w:tblCellSpacing w:w="15" w:type="dxa"/>
                                </w:trPr>
                                <w:tc>
                                  <w:tcPr>
                                    <w:tcW w:w="0" w:type="auto"/>
                                    <w:tcMar>
                                      <w:top w:w="15" w:type="dxa"/>
                                      <w:left w:w="15" w:type="dxa"/>
                                      <w:bottom w:w="15" w:type="dxa"/>
                                      <w:right w:w="15" w:type="dxa"/>
                                    </w:tcMar>
                                    <w:vAlign w:val="center"/>
                                    <w:hideMark/>
                                  </w:tcPr>
                                  <w:p w:rsidR="00A041AD" w:rsidRDefault="00A041AD">
                                    <w:pPr>
                                      <w:spacing w:line="195" w:lineRule="atLeast"/>
                                    </w:pPr>
                                    <w:r>
                                      <w:rPr>
                                        <w:rFonts w:ascii="Arial" w:hAnsi="Arial" w:cs="Arial"/>
                                        <w:color w:val="4C4C4C"/>
                                        <w:sz w:val="15"/>
                                        <w:szCs w:val="15"/>
                                      </w:rPr>
                                      <w:t xml:space="preserve">This email was sent to </w:t>
                                    </w:r>
                                    <w:hyperlink r:id="rId32" w:history="1">
                                      <w:r>
                                        <w:rPr>
                                          <w:rStyle w:val="Hyperlink"/>
                                          <w:rFonts w:ascii="Arial" w:hAnsi="Arial" w:cs="Arial"/>
                                          <w:sz w:val="15"/>
                                          <w:szCs w:val="15"/>
                                        </w:rPr>
                                        <w:t>ppaladino@MAINEHOUSING.ORG</w:t>
                                      </w:r>
                                    </w:hyperlink>
                                    <w:r>
                                      <w:rPr>
                                        <w:rFonts w:ascii="Arial" w:hAnsi="Arial" w:cs="Arial"/>
                                        <w:color w:val="4C4C4C"/>
                                        <w:sz w:val="15"/>
                                        <w:szCs w:val="15"/>
                                      </w:rPr>
                                      <w:t xml:space="preserve"> by </w:t>
                                    </w:r>
                                    <w:hyperlink r:id="rId33" w:history="1">
                                      <w:r>
                                        <w:rPr>
                                          <w:rStyle w:val="Hyperlink"/>
                                          <w:rFonts w:ascii="Arial" w:hAnsi="Arial" w:cs="Arial"/>
                                          <w:color w:val="4C4C4C"/>
                                          <w:sz w:val="15"/>
                                          <w:szCs w:val="15"/>
                                        </w:rPr>
                                        <w:t>news@mail.hudexchange.info</w:t>
                                      </w:r>
                                    </w:hyperlink>
                                    <w:r>
                                      <w:rPr>
                                        <w:rFonts w:ascii="Arial" w:hAnsi="Arial" w:cs="Arial"/>
                                        <w:color w:val="4C4C4C"/>
                                        <w:sz w:val="15"/>
                                        <w:szCs w:val="15"/>
                                      </w:rPr>
                                      <w:t xml:space="preserve"> </w:t>
                                    </w:r>
                                    <w:r>
                                      <w:rPr>
                                        <w:rFonts w:ascii="Arial" w:hAnsi="Arial" w:cs="Arial"/>
                                        <w:color w:val="4C4C4C"/>
                                        <w:sz w:val="15"/>
                                        <w:szCs w:val="15"/>
                                      </w:rPr>
                                      <w:br/>
                                    </w:r>
                                    <w:hyperlink r:id="rId34" w:history="1">
                                      <w:r>
                                        <w:rPr>
                                          <w:rStyle w:val="Hyperlink"/>
                                          <w:rFonts w:ascii="Arial" w:hAnsi="Arial" w:cs="Arial"/>
                                          <w:color w:val="4C4C4C"/>
                                          <w:sz w:val="15"/>
                                          <w:szCs w:val="15"/>
                                        </w:rPr>
                                        <w:t>Update Profile/Email Address</w:t>
                                      </w:r>
                                    </w:hyperlink>
                                    <w:r>
                                      <w:rPr>
                                        <w:rFonts w:ascii="Arial" w:hAnsi="Arial" w:cs="Arial"/>
                                        <w:color w:val="4C4C4C"/>
                                        <w:sz w:val="15"/>
                                        <w:szCs w:val="15"/>
                                      </w:rPr>
                                      <w:t xml:space="preserve"> | </w:t>
                                    </w:r>
                                    <w:hyperlink r:id="rId35" w:history="1">
                                      <w:r>
                                        <w:rPr>
                                          <w:rStyle w:val="Hyperlink"/>
                                          <w:rFonts w:ascii="Arial" w:hAnsi="Arial" w:cs="Arial"/>
                                          <w:color w:val="4C4C4C"/>
                                          <w:sz w:val="15"/>
                                          <w:szCs w:val="15"/>
                                        </w:rPr>
                                        <w:t xml:space="preserve">Instant removal with </w:t>
                                      </w:r>
                                      <w:proofErr w:type="spellStart"/>
                                      <w:r>
                                        <w:rPr>
                                          <w:rStyle w:val="Hyperlink"/>
                                          <w:rFonts w:ascii="Arial" w:hAnsi="Arial" w:cs="Arial"/>
                                          <w:color w:val="4C4C4C"/>
                                          <w:sz w:val="15"/>
                                          <w:szCs w:val="15"/>
                                        </w:rPr>
                                        <w:t>SafeUnsubscribe</w:t>
                                      </w:r>
                                    </w:hyperlink>
                                    <w:r>
                                      <w:rPr>
                                        <w:rFonts w:ascii="Arial" w:hAnsi="Arial" w:cs="Arial"/>
                                        <w:color w:val="4C4C4C"/>
                                        <w:sz w:val="14"/>
                                        <w:szCs w:val="14"/>
                                        <w:vertAlign w:val="superscript"/>
                                      </w:rPr>
                                      <w:t>TM</w:t>
                                    </w:r>
                                    <w:proofErr w:type="spellEnd"/>
                                    <w:r>
                                      <w:rPr>
                                        <w:rFonts w:ascii="Arial" w:hAnsi="Arial" w:cs="Arial"/>
                                        <w:color w:val="4C4C4C"/>
                                        <w:sz w:val="15"/>
                                        <w:szCs w:val="15"/>
                                      </w:rPr>
                                      <w:t xml:space="preserve"> | </w:t>
                                    </w:r>
                                    <w:hyperlink r:id="rId36" w:history="1">
                                      <w:r>
                                        <w:rPr>
                                          <w:rStyle w:val="Hyperlink"/>
                                          <w:rFonts w:ascii="Arial" w:hAnsi="Arial" w:cs="Arial"/>
                                          <w:color w:val="4C4C4C"/>
                                          <w:sz w:val="15"/>
                                          <w:szCs w:val="15"/>
                                        </w:rPr>
                                        <w:t>Privacy Policy</w:t>
                                      </w:r>
                                    </w:hyperlink>
                                    <w:r>
                                      <w:rPr>
                                        <w:rFonts w:ascii="Arial" w:hAnsi="Arial" w:cs="Arial"/>
                                        <w:color w:val="4C4C4C"/>
                                        <w:sz w:val="15"/>
                                        <w:szCs w:val="15"/>
                                      </w:rPr>
                                      <w:br/>
                                      <w:t>U.S. Department of Housing and Urban Development I 451 7th Street S.W. I Washington I D.C. I 20410</w:t>
                                    </w:r>
                                    <w:r>
                                      <w:t xml:space="preserve"> </w:t>
                                    </w:r>
                                  </w:p>
                                </w:tc>
                              </w:tr>
                            </w:tbl>
                            <w:p w:rsidR="00A041AD" w:rsidRDefault="00A041AD">
                              <w:pPr>
                                <w:rPr>
                                  <w:rFonts w:eastAsia="Times New Roman"/>
                                  <w:sz w:val="20"/>
                                  <w:szCs w:val="20"/>
                                </w:rPr>
                              </w:pPr>
                            </w:p>
                          </w:tc>
                        </w:tr>
                      </w:tbl>
                      <w:p w:rsidR="00A041AD" w:rsidRDefault="00A041AD">
                        <w:pPr>
                          <w:jc w:val="center"/>
                          <w:rPr>
                            <w:rFonts w:eastAsia="Times New Roman"/>
                            <w:sz w:val="20"/>
                            <w:szCs w:val="20"/>
                          </w:rPr>
                        </w:pPr>
                      </w:p>
                    </w:tc>
                  </w:tr>
                </w:tbl>
                <w:p w:rsidR="00A041AD" w:rsidRDefault="00A041AD" w:rsidP="00A041AD">
                  <w:r>
                    <w:rPr>
                      <w:noProof/>
                    </w:rPr>
                    <w:lastRenderedPageBreak/>
                    <w:drawing>
                      <wp:inline distT="0" distB="0" distL="0" distR="0" wp14:anchorId="73290B51" wp14:editId="08A4293A">
                        <wp:extent cx="9525" cy="9525"/>
                        <wp:effectExtent l="0" t="0" r="0" b="0"/>
                        <wp:docPr id="11" name="Picture 11" descr="http://hudexchange.us5.list-manage.com/track/open.php?u=87d7c8afc03ba69ee70d865b9&amp;id=d79a1ed0db&amp;e=28c03da8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udexchange.us5.list-manage.com/track/open.php?u=87d7c8afc03ba69ee70d865b9&amp;id=d79a1ed0db&amp;e=28c03da8e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041AD" w:rsidRDefault="00A041AD">
                  <w:pPr>
                    <w:rPr>
                      <w:rFonts w:ascii="Arial" w:hAnsi="Arial" w:cs="Arial"/>
                      <w:color w:val="4C4C4C"/>
                      <w:sz w:val="15"/>
                      <w:szCs w:val="15"/>
                    </w:rPr>
                  </w:pPr>
                  <w:r>
                    <w:rPr>
                      <w:rFonts w:ascii="Arial" w:hAnsi="Arial" w:cs="Arial"/>
                      <w:color w:val="4C4C4C"/>
                      <w:sz w:val="15"/>
                      <w:szCs w:val="15"/>
                    </w:rPr>
                    <w:t xml:space="preserve">Is this email not displaying correctly? </w:t>
                  </w:r>
                  <w:hyperlink r:id="rId38" w:tgtFrame="_blank" w:history="1">
                    <w:r>
                      <w:rPr>
                        <w:rStyle w:val="Hyperlink"/>
                        <w:rFonts w:ascii="Arial" w:hAnsi="Arial" w:cs="Arial"/>
                        <w:color w:val="4C4C4C"/>
                        <w:sz w:val="15"/>
                        <w:szCs w:val="15"/>
                      </w:rPr>
                      <w:t>View it in your browser</w:t>
                    </w:r>
                  </w:hyperlink>
                  <w:r>
                    <w:rPr>
                      <w:rFonts w:ascii="Arial" w:hAnsi="Arial" w:cs="Arial"/>
                      <w:color w:val="4C4C4C"/>
                      <w:sz w:val="15"/>
                      <w:szCs w:val="15"/>
                    </w:rPr>
                    <w:t xml:space="preserve">. </w:t>
                  </w:r>
                </w:p>
              </w:tc>
            </w:tr>
          </w:tbl>
          <w:p w:rsidR="00A041AD" w:rsidRDefault="00A041AD">
            <w:pPr>
              <w:jc w:val="right"/>
              <w:rPr>
                <w:rFonts w:eastAsia="Times New Roman"/>
                <w:sz w:val="20"/>
                <w:szCs w:val="20"/>
              </w:rPr>
            </w:pPr>
          </w:p>
        </w:tc>
      </w:tr>
      <w:tr w:rsidR="00A041AD" w:rsidTr="00A041AD">
        <w:trPr>
          <w:tblCellSpacing w:w="0" w:type="dxa"/>
          <w:jc w:val="center"/>
        </w:trPr>
        <w:tc>
          <w:tcPr>
            <w:tcW w:w="9300" w:type="dxa"/>
            <w:shd w:val="clear" w:color="auto" w:fill="41AED1"/>
            <w:vAlign w:val="center"/>
            <w:hideMark/>
          </w:tcPr>
          <w:tbl>
            <w:tblPr>
              <w:tblW w:w="9000" w:type="dxa"/>
              <w:tblCellSpacing w:w="0" w:type="dxa"/>
              <w:tblCellMar>
                <w:left w:w="0" w:type="dxa"/>
                <w:right w:w="0" w:type="dxa"/>
              </w:tblCellMar>
              <w:tblLook w:val="04A0" w:firstRow="1" w:lastRow="0" w:firstColumn="1" w:lastColumn="0" w:noHBand="0" w:noVBand="1"/>
            </w:tblPr>
            <w:tblGrid>
              <w:gridCol w:w="660"/>
              <w:gridCol w:w="1200"/>
              <w:gridCol w:w="7440"/>
            </w:tblGrid>
            <w:tr w:rsidR="00A041AD">
              <w:trPr>
                <w:tblCellSpacing w:w="0" w:type="dxa"/>
              </w:trPr>
              <w:tc>
                <w:tcPr>
                  <w:tcW w:w="645" w:type="dxa"/>
                  <w:vAlign w:val="center"/>
                  <w:hideMark/>
                </w:tcPr>
                <w:p w:rsidR="00A041AD" w:rsidRDefault="00A041AD">
                  <w:r>
                    <w:rPr>
                      <w:noProof/>
                    </w:rPr>
                    <w:lastRenderedPageBreak/>
                    <w:drawing>
                      <wp:inline distT="0" distB="0" distL="0" distR="0" wp14:anchorId="1CCE40DB" wp14:editId="2F9AE089">
                        <wp:extent cx="409575" cy="962025"/>
                        <wp:effectExtent l="0" t="0" r="9525" b="9525"/>
                        <wp:docPr id="10" name="Picture 10" descr="http://gallery.mailchimp.com/87d7c8afc03ba69ee70d865b9/images/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87d7c8afc03ba69ee70d865b9/images/top_lef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962025"/>
                                </a:xfrm>
                                <a:prstGeom prst="rect">
                                  <a:avLst/>
                                </a:prstGeom>
                                <a:noFill/>
                                <a:ln>
                                  <a:noFill/>
                                </a:ln>
                              </pic:spPr>
                            </pic:pic>
                          </a:graphicData>
                        </a:graphic>
                      </wp:inline>
                    </w:drawing>
                  </w:r>
                </w:p>
              </w:tc>
              <w:tc>
                <w:tcPr>
                  <w:tcW w:w="1200" w:type="dxa"/>
                  <w:vAlign w:val="center"/>
                  <w:hideMark/>
                </w:tcPr>
                <w:p w:rsidR="00A041AD" w:rsidRDefault="00A041AD">
                  <w:r>
                    <w:rPr>
                      <w:noProof/>
                      <w:color w:val="0000FF"/>
                    </w:rPr>
                    <w:drawing>
                      <wp:inline distT="0" distB="0" distL="0" distR="0" wp14:anchorId="63A4AC7A" wp14:editId="3F79B3D0">
                        <wp:extent cx="762000" cy="962025"/>
                        <wp:effectExtent l="0" t="0" r="0" b="9525"/>
                        <wp:docPr id="9" name="Picture 9" descr="U.S. Department of Housing and Urban Development">
                          <a:hlinkClick xmlns:a="http://schemas.openxmlformats.org/drawingml/2006/main" r:id="rId39" tgtFrame="_blank" tooltip="U.S. Department of Housing and Urban Develop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Housing and Urban Develop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p>
              </w:tc>
              <w:tc>
                <w:tcPr>
                  <w:tcW w:w="0" w:type="auto"/>
                  <w:vAlign w:val="center"/>
                  <w:hideMark/>
                </w:tcPr>
                <w:p w:rsidR="00A041AD" w:rsidRDefault="00A041AD">
                  <w:r>
                    <w:rPr>
                      <w:noProof/>
                    </w:rPr>
                    <w:drawing>
                      <wp:inline distT="0" distB="0" distL="0" distR="0" wp14:anchorId="3AF41731" wp14:editId="412A8A78">
                        <wp:extent cx="4724400" cy="962025"/>
                        <wp:effectExtent l="0" t="0" r="0" b="9525"/>
                        <wp:docPr id="8" name="Picture 8" descr="HUD Exchange Mailing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Exchange Mailing Li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962025"/>
                                </a:xfrm>
                                <a:prstGeom prst="rect">
                                  <a:avLst/>
                                </a:prstGeom>
                                <a:noFill/>
                                <a:ln>
                                  <a:noFill/>
                                </a:ln>
                              </pic:spPr>
                            </pic:pic>
                          </a:graphicData>
                        </a:graphic>
                      </wp:inline>
                    </w:drawing>
                  </w:r>
                </w:p>
              </w:tc>
            </w:tr>
          </w:tbl>
          <w:p w:rsidR="00A041AD" w:rsidRDefault="00A041AD">
            <w:pPr>
              <w:rPr>
                <w:rFonts w:eastAsia="Times New Roman"/>
                <w:sz w:val="20"/>
                <w:szCs w:val="20"/>
              </w:rPr>
            </w:pPr>
          </w:p>
        </w:tc>
      </w:tr>
      <w:tr w:rsidR="00A041AD" w:rsidTr="00A041AD">
        <w:trPr>
          <w:tblCellSpacing w:w="0" w:type="dxa"/>
          <w:jc w:val="center"/>
        </w:trPr>
        <w:tc>
          <w:tcPr>
            <w:tcW w:w="0" w:type="auto"/>
            <w:vAlign w:val="center"/>
            <w:hideMark/>
          </w:tcPr>
          <w:p w:rsidR="00A041AD" w:rsidRDefault="00A041AD">
            <w:pPr>
              <w:rPr>
                <w:rFonts w:eastAsia="Times New Roman"/>
                <w:sz w:val="20"/>
                <w:szCs w:val="20"/>
              </w:rPr>
            </w:pPr>
          </w:p>
        </w:tc>
      </w:tr>
      <w:tr w:rsidR="00A041AD" w:rsidTr="00A041AD">
        <w:trPr>
          <w:tblCellSpacing w:w="0" w:type="dxa"/>
          <w:jc w:val="center"/>
        </w:trPr>
        <w:tc>
          <w:tcPr>
            <w:tcW w:w="0" w:type="auto"/>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540"/>
              <w:gridCol w:w="7800"/>
              <w:gridCol w:w="660"/>
            </w:tblGrid>
            <w:tr w:rsidR="00A041AD">
              <w:trPr>
                <w:tblCellSpacing w:w="0" w:type="dxa"/>
              </w:trPr>
              <w:tc>
                <w:tcPr>
                  <w:tcW w:w="540" w:type="dxa"/>
                  <w:vAlign w:val="center"/>
                  <w:hideMark/>
                </w:tcPr>
                <w:p w:rsidR="00A041AD" w:rsidRDefault="00A041AD">
                  <w:r>
                    <w:t> </w:t>
                  </w:r>
                </w:p>
              </w:tc>
              <w:tc>
                <w:tcPr>
                  <w:tcW w:w="7800" w:type="dxa"/>
                  <w:hideMark/>
                </w:tcPr>
                <w:tbl>
                  <w:tblPr>
                    <w:tblW w:w="7650" w:type="dxa"/>
                    <w:tblCellSpacing w:w="0" w:type="dxa"/>
                    <w:tblCellMar>
                      <w:left w:w="0" w:type="dxa"/>
                      <w:right w:w="0" w:type="dxa"/>
                    </w:tblCellMar>
                    <w:tblLook w:val="04A0" w:firstRow="1" w:lastRow="0" w:firstColumn="1" w:lastColumn="0" w:noHBand="0" w:noVBand="1"/>
                  </w:tblPr>
                  <w:tblGrid>
                    <w:gridCol w:w="7650"/>
                  </w:tblGrid>
                  <w:tr w:rsidR="00A041AD">
                    <w:trPr>
                      <w:tblCellSpacing w:w="0" w:type="dxa"/>
                    </w:trPr>
                    <w:tc>
                      <w:tcPr>
                        <w:tcW w:w="0" w:type="auto"/>
                        <w:vAlign w:val="center"/>
                        <w:hideMark/>
                      </w:tcPr>
                      <w:p w:rsidR="00A041AD" w:rsidRDefault="00A041AD">
                        <w:pPr>
                          <w:pStyle w:val="Heading2"/>
                          <w:rPr>
                            <w:rFonts w:ascii="Arial" w:eastAsia="Times New Roman" w:hAnsi="Arial" w:cs="Arial"/>
                            <w:color w:val="403E3A"/>
                          </w:rPr>
                        </w:pPr>
                        <w:r>
                          <w:rPr>
                            <w:rFonts w:ascii="Arial" w:eastAsia="Times New Roman" w:hAnsi="Arial" w:cs="Arial"/>
                            <w:color w:val="403E3A"/>
                          </w:rPr>
                          <w:t xml:space="preserve">SNAPS </w:t>
                        </w:r>
                        <w:proofErr w:type="gramStart"/>
                        <w:r>
                          <w:rPr>
                            <w:rFonts w:ascii="Arial" w:eastAsia="Times New Roman" w:hAnsi="Arial" w:cs="Arial"/>
                            <w:color w:val="403E3A"/>
                          </w:rPr>
                          <w:t>In</w:t>
                        </w:r>
                        <w:proofErr w:type="gramEnd"/>
                        <w:r>
                          <w:rPr>
                            <w:rFonts w:ascii="Arial" w:eastAsia="Times New Roman" w:hAnsi="Arial" w:cs="Arial"/>
                            <w:color w:val="403E3A"/>
                          </w:rPr>
                          <w:t xml:space="preserve"> Focus: Final Rule on Defining “Chronically Homeless” Part II: Policy and Practical Implications of the New Definition</w:t>
                        </w:r>
                      </w:p>
                    </w:tc>
                  </w:tr>
                  <w:tr w:rsidR="00A041AD">
                    <w:trPr>
                      <w:trHeight w:val="15"/>
                      <w:tblCellSpacing w:w="0" w:type="dxa"/>
                    </w:trPr>
                    <w:tc>
                      <w:tcPr>
                        <w:tcW w:w="0" w:type="auto"/>
                        <w:vAlign w:val="center"/>
                        <w:hideMark/>
                      </w:tcPr>
                      <w:p w:rsidR="00A041AD" w:rsidRDefault="00A041AD">
                        <w:pPr>
                          <w:rPr>
                            <w:rFonts w:eastAsia="Times New Roman"/>
                            <w:sz w:val="20"/>
                            <w:szCs w:val="20"/>
                          </w:rPr>
                        </w:pPr>
                      </w:p>
                    </w:tc>
                  </w:tr>
                  <w:tr w:rsidR="00A041AD">
                    <w:trPr>
                      <w:tblCellSpacing w:w="0" w:type="dxa"/>
                    </w:trPr>
                    <w:tc>
                      <w:tcPr>
                        <w:tcW w:w="0" w:type="auto"/>
                        <w:vAlign w:val="center"/>
                        <w:hideMark/>
                      </w:tcPr>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 xml:space="preserve">In </w:t>
                        </w:r>
                        <w:hyperlink r:id="rId40" w:history="1">
                          <w:r>
                            <w:rPr>
                              <w:rStyle w:val="Hyperlink"/>
                              <w:rFonts w:ascii="Arial" w:hAnsi="Arial" w:cs="Arial"/>
                              <w:sz w:val="21"/>
                              <w:szCs w:val="21"/>
                            </w:rPr>
                            <w:t>an earlier message</w:t>
                          </w:r>
                        </w:hyperlink>
                        <w:r>
                          <w:rPr>
                            <w:rFonts w:ascii="Arial" w:hAnsi="Arial" w:cs="Arial"/>
                            <w:color w:val="504B4C"/>
                            <w:sz w:val="21"/>
                            <w:szCs w:val="21"/>
                          </w:rPr>
                          <w:t xml:space="preserve">, Ann Oliva explained the background of how we got to the definition of chronically homeless included in the </w:t>
                        </w:r>
                        <w:hyperlink r:id="rId41" w:history="1">
                          <w:r>
                            <w:rPr>
                              <w:rStyle w:val="Hyperlink"/>
                              <w:rFonts w:ascii="Arial" w:hAnsi="Arial" w:cs="Arial"/>
                              <w:sz w:val="21"/>
                              <w:szCs w:val="21"/>
                            </w:rPr>
                            <w:t>final rule</w:t>
                          </w:r>
                        </w:hyperlink>
                        <w:r>
                          <w:rPr>
                            <w:rFonts w:ascii="Arial" w:hAnsi="Arial" w:cs="Arial"/>
                            <w:color w:val="504B4C"/>
                            <w:sz w:val="21"/>
                            <w:szCs w:val="21"/>
                          </w:rPr>
                          <w:t>. This message further describes the policy and HUD’s intent as well as provides guidance around what to expect next.</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 xml:space="preserve">First and foremost, HUD’s intent is to prioritize households who have been homeless for very long periods of time and who may require more consistent engagement and assistance to exit homelessness. This will require communities to truly adopt a Housing First orientation and increase outreach and engagement efforts. It is not HUD’s intent to make people wait longer to access needed housing, and HUD does not expect for a recipient of dedicated permanent supportive housing (PSH) to hold beds vacant while waiting for people to age into being chronically homeless. If no one in the Continuum of Care (CoC) meets the revised definition of chronically homeless, recipients can then serve other eligible households. HUD will be issuing updated guidance related to how non-chronically homeless households should be prioritized in light of the updated definition; however, until then, </w:t>
                        </w:r>
                        <w:proofErr w:type="spellStart"/>
                        <w:r>
                          <w:rPr>
                            <w:rFonts w:ascii="Arial" w:hAnsi="Arial" w:cs="Arial"/>
                            <w:color w:val="504B4C"/>
                            <w:sz w:val="21"/>
                            <w:szCs w:val="21"/>
                          </w:rPr>
                          <w:t>CoCs</w:t>
                        </w:r>
                        <w:proofErr w:type="spellEnd"/>
                        <w:r>
                          <w:rPr>
                            <w:rFonts w:ascii="Arial" w:hAnsi="Arial" w:cs="Arial"/>
                            <w:color w:val="504B4C"/>
                            <w:sz w:val="21"/>
                            <w:szCs w:val="21"/>
                          </w:rPr>
                          <w:t xml:space="preserve"> are encouraged to continue following the orders of priority established in </w:t>
                        </w:r>
                        <w:hyperlink r:id="rId42" w:history="1">
                          <w:r>
                            <w:rPr>
                              <w:rStyle w:val="Hyperlink"/>
                              <w:rFonts w:ascii="Arial" w:hAnsi="Arial" w:cs="Arial"/>
                              <w:sz w:val="21"/>
                              <w:szCs w:val="21"/>
                            </w:rPr>
                            <w:t xml:space="preserve">Notice CPD-14-012 </w:t>
                          </w:r>
                          <w:r>
                            <w:rPr>
                              <w:rStyle w:val="Emphasis"/>
                              <w:rFonts w:ascii="Arial" w:hAnsi="Arial" w:cs="Arial"/>
                              <w:color w:val="0000FF"/>
                              <w:sz w:val="21"/>
                              <w:szCs w:val="21"/>
                              <w:u w:val="single"/>
                            </w:rPr>
                            <w:t>Prioritizing Persons Experiencing Chronic Homelessness in Permanent Supportive Housing</w:t>
                          </w:r>
                        </w:hyperlink>
                        <w:r>
                          <w:rPr>
                            <w:rFonts w:ascii="Arial" w:hAnsi="Arial" w:cs="Arial"/>
                            <w:color w:val="504B4C"/>
                            <w:sz w:val="21"/>
                            <w:szCs w:val="21"/>
                          </w:rPr>
                          <w:t>.</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 xml:space="preserve">It is possible that the definitional change will affect the number of people that meet the definition of chronically homeless. In some cases, it will mean that people previously considered chronically homeless will no longer meet the definition while others that had been excluded from this group—such as persons that cycle in and out of institutions—will now meet it. However, we want to be clear that this was not the goal of the change. The change in definition has been in development </w:t>
                        </w:r>
                        <w:r>
                          <w:rPr>
                            <w:rFonts w:ascii="Arial" w:hAnsi="Arial" w:cs="Arial"/>
                            <w:color w:val="504B4C"/>
                            <w:sz w:val="21"/>
                            <w:szCs w:val="21"/>
                          </w:rPr>
                          <w:lastRenderedPageBreak/>
                          <w:t>since 2012—long before we were nearing the deadline for reaching our goal. Our intent is simple—to ensure that communities around the country prioritize people for PSH with the most severe needs and the longest histories of homelessness, including those who have experienced homelessness for longer than the 10 years in which we’ve been working to end chronic homelessness. The current definition of chronically homeless allows for a person that has only been homeless for a handful of days over the last three years to be considered chronically homeless. Not only is this inconsistent with our values, it is also inconsistent when compared to the requirement under the same definition that someone would have to be homeless continuously for 12 months in order to be considered chronically homeless. PSH is a limited resource and we must ensure that those with the longest histories of homelessness and highest needs are prioritized. We believe this new definition—coupled with prioritization—will get us there.</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In the efforts to end chronic homelessness, it will not be sufficient to simply demonstrate that there are no longer persons that meet the new definition. Communities will also need to build systematic capacity to ensure that no one becomes chronically homeless again in the future. Our hope is that once we meet the goal of ending chronic homelessness in this country, no one will ever again age into chronic homelessness and resources can be re-prioritized for other high-need populations. Over the next few weeks, we ask that you carefully review both the preamble and the regulatory text included in the final rule. In January, we will offer a webinar (on multiple dates) to ensure that everyone is able to hear the same information and have an opportunity to submit questions to HUD. We know that implementing this final definition will not be easy but we believe that it will put us on a path to truly end chronic homelessness once and for all.</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Thank you for your commitment to ending homelessness!</w:t>
                        </w:r>
                      </w:p>
                      <w:p w:rsidR="00A041AD" w:rsidRDefault="00A041AD">
                        <w:pPr>
                          <w:pStyle w:val="NormalWeb"/>
                          <w:spacing w:line="270" w:lineRule="atLeast"/>
                          <w:rPr>
                            <w:rFonts w:ascii="Arial" w:hAnsi="Arial" w:cs="Arial"/>
                            <w:color w:val="504B4C"/>
                            <w:sz w:val="21"/>
                            <w:szCs w:val="21"/>
                          </w:rPr>
                        </w:pPr>
                        <w:r>
                          <w:rPr>
                            <w:rFonts w:ascii="Arial" w:hAnsi="Arial" w:cs="Arial"/>
                            <w:color w:val="504B4C"/>
                            <w:sz w:val="21"/>
                            <w:szCs w:val="21"/>
                          </w:rPr>
                          <w:t>Marcy Thompson</w:t>
                        </w:r>
                        <w:r>
                          <w:rPr>
                            <w:rFonts w:ascii="Arial" w:hAnsi="Arial" w:cs="Arial"/>
                            <w:color w:val="504B4C"/>
                            <w:sz w:val="21"/>
                            <w:szCs w:val="21"/>
                          </w:rPr>
                          <w:br/>
                          <w:t>Senior Advisor to the Deputy Assistant Secretary for Special Needs</w:t>
                        </w:r>
                        <w:r>
                          <w:rPr>
                            <w:rFonts w:ascii="Arial" w:hAnsi="Arial" w:cs="Arial"/>
                            <w:color w:val="504B4C"/>
                            <w:sz w:val="21"/>
                            <w:szCs w:val="21"/>
                          </w:rPr>
                          <w:br/>
                          <w:t>HUD Lead on Ending Chronic Homelessness</w:t>
                        </w:r>
                      </w:p>
                      <w:p w:rsidR="00A041AD" w:rsidRDefault="00A041AD">
                        <w:pPr>
                          <w:pStyle w:val="NormalWeb"/>
                          <w:spacing w:line="270" w:lineRule="atLeast"/>
                          <w:rPr>
                            <w:rFonts w:ascii="Arial" w:hAnsi="Arial" w:cs="Arial"/>
                            <w:color w:val="504B4C"/>
                            <w:sz w:val="21"/>
                            <w:szCs w:val="21"/>
                          </w:rPr>
                        </w:pPr>
                        <w:hyperlink r:id="rId43" w:history="1">
                          <w:r>
                            <w:rPr>
                              <w:rStyle w:val="Hyperlink"/>
                              <w:rFonts w:ascii="Arial" w:hAnsi="Arial" w:cs="Arial"/>
                              <w:sz w:val="21"/>
                              <w:szCs w:val="21"/>
                            </w:rPr>
                            <w:t>Download this SNAPS In Focus Message: Final Rule on Defining “Chronically Homeless” Part II: Policy and Practical Implications of the New Definition</w:t>
                          </w:r>
                        </w:hyperlink>
                      </w:p>
                      <w:p w:rsidR="00A041AD" w:rsidRDefault="00A041AD">
                        <w:pPr>
                          <w:pStyle w:val="NormalWeb"/>
                          <w:spacing w:line="270" w:lineRule="atLeast"/>
                          <w:rPr>
                            <w:rFonts w:ascii="Arial" w:hAnsi="Arial" w:cs="Arial"/>
                            <w:color w:val="504B4C"/>
                            <w:sz w:val="21"/>
                            <w:szCs w:val="21"/>
                          </w:rPr>
                        </w:pPr>
                        <w:hyperlink r:id="rId44" w:history="1">
                          <w:r>
                            <w:rPr>
                              <w:rStyle w:val="Hyperlink"/>
                              <w:rFonts w:ascii="Arial" w:hAnsi="Arial" w:cs="Arial"/>
                              <w:sz w:val="21"/>
                              <w:szCs w:val="21"/>
                            </w:rPr>
                            <w:t>View SNAPS In Focus Messages</w:t>
                          </w:r>
                        </w:hyperlink>
                      </w:p>
                    </w:tc>
                  </w:tr>
                </w:tbl>
                <w:p w:rsidR="00A041AD" w:rsidRDefault="00A041AD">
                  <w:pPr>
                    <w:rPr>
                      <w:rFonts w:eastAsia="Times New Roman"/>
                      <w:sz w:val="20"/>
                      <w:szCs w:val="20"/>
                    </w:rPr>
                  </w:pPr>
                </w:p>
              </w:tc>
              <w:tc>
                <w:tcPr>
                  <w:tcW w:w="660" w:type="dxa"/>
                  <w:vAlign w:val="center"/>
                  <w:hideMark/>
                </w:tcPr>
                <w:p w:rsidR="00A041AD" w:rsidRDefault="00A041AD">
                  <w:r>
                    <w:lastRenderedPageBreak/>
                    <w:t> </w:t>
                  </w:r>
                </w:p>
              </w:tc>
            </w:tr>
          </w:tbl>
          <w:p w:rsidR="00A041AD" w:rsidRDefault="00A041AD">
            <w:pPr>
              <w:rPr>
                <w:rFonts w:eastAsia="Times New Roman"/>
                <w:sz w:val="20"/>
                <w:szCs w:val="20"/>
              </w:rPr>
            </w:pPr>
          </w:p>
        </w:tc>
      </w:tr>
      <w:tr w:rsidR="00A041AD" w:rsidTr="00A041AD">
        <w:trPr>
          <w:trHeight w:val="435"/>
          <w:tblCellSpacing w:w="0" w:type="dxa"/>
          <w:jc w:val="center"/>
        </w:trPr>
        <w:tc>
          <w:tcPr>
            <w:tcW w:w="0" w:type="auto"/>
            <w:shd w:val="clear" w:color="auto" w:fill="FFFFFF"/>
            <w:vAlign w:val="center"/>
            <w:hideMark/>
          </w:tcPr>
          <w:p w:rsidR="00A041AD" w:rsidRDefault="00A041AD">
            <w:pPr>
              <w:rPr>
                <w:rFonts w:eastAsia="Times New Roman"/>
                <w:sz w:val="20"/>
                <w:szCs w:val="20"/>
              </w:rPr>
            </w:pPr>
          </w:p>
        </w:tc>
      </w:tr>
      <w:tr w:rsidR="00A041AD" w:rsidTr="00A041AD">
        <w:trPr>
          <w:tblCellSpacing w:w="0" w:type="dxa"/>
          <w:jc w:val="center"/>
        </w:trPr>
        <w:tc>
          <w:tcPr>
            <w:tcW w:w="0" w:type="auto"/>
            <w:shd w:val="clear" w:color="auto" w:fill="FFFFFF"/>
            <w:tcMar>
              <w:top w:w="150" w:type="dxa"/>
              <w:left w:w="150" w:type="dxa"/>
              <w:bottom w:w="150" w:type="dxa"/>
              <w:right w:w="150" w:type="dxa"/>
            </w:tcMar>
            <w:vAlign w:val="center"/>
            <w:hideMark/>
          </w:tcPr>
          <w:p w:rsidR="00A041AD" w:rsidRDefault="00A041AD">
            <w:pPr>
              <w:jc w:val="center"/>
            </w:pPr>
            <w:r>
              <w:rPr>
                <w:noProof/>
                <w:color w:val="0000FF"/>
              </w:rPr>
              <w:drawing>
                <wp:inline distT="0" distB="0" distL="0" distR="0" wp14:anchorId="180EE501" wp14:editId="0E740ED0">
                  <wp:extent cx="304800" cy="304800"/>
                  <wp:effectExtent l="0" t="0" r="0" b="0"/>
                  <wp:docPr id="7" name="Picture 7" descr="http://gallery.mailchimp.com/87d7c8afc03ba69ee70d865b9/images/facebook.2.jpg">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lery.mailchimp.com/87d7c8afc03ba69ee70d865b9/images/facebook.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0000FF"/>
              </w:rPr>
              <w:drawing>
                <wp:inline distT="0" distB="0" distL="0" distR="0" wp14:anchorId="156904ED" wp14:editId="78EEB6E2">
                  <wp:extent cx="304800" cy="304800"/>
                  <wp:effectExtent l="0" t="0" r="0" b="0"/>
                  <wp:docPr id="6" name="Picture 6" descr="http://gallery.mailchimp.com/87d7c8afc03ba69ee70d865b9/images/yoitube.2.jpg">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lery.mailchimp.com/87d7c8afc03ba69ee70d865b9/images/yoitube.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0000FF"/>
              </w:rPr>
              <w:drawing>
                <wp:inline distT="0" distB="0" distL="0" distR="0" wp14:anchorId="78EB048B" wp14:editId="6B1A3FDB">
                  <wp:extent cx="304800" cy="304800"/>
                  <wp:effectExtent l="0" t="0" r="0" b="0"/>
                  <wp:docPr id="5" name="Picture 5" descr="http://gallery.mailchimp.com/87d7c8afc03ba69ee70d865b9/images/flickr.2.jp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llery.mailchimp.com/87d7c8afc03ba69ee70d865b9/images/flickr.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w:t>
            </w:r>
            <w:r>
              <w:rPr>
                <w:noProof/>
                <w:color w:val="0000FF"/>
              </w:rPr>
              <w:drawing>
                <wp:inline distT="0" distB="0" distL="0" distR="0" wp14:anchorId="69109C08" wp14:editId="3D3ED944">
                  <wp:extent cx="304800" cy="304800"/>
                  <wp:effectExtent l="0" t="0" r="0" b="0"/>
                  <wp:docPr id="4" name="Picture 4" descr="http://gallery.mailchimp.com/87d7c8afc03ba69ee70d865b9/images/twitter.2.jpg">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mailchimp.com/87d7c8afc03ba69ee70d865b9/images/twitter.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A041AD" w:rsidTr="00A041AD">
        <w:trPr>
          <w:tblCellSpacing w:w="0" w:type="dxa"/>
          <w:jc w:val="center"/>
        </w:trPr>
        <w:tc>
          <w:tcPr>
            <w:tcW w:w="0" w:type="auto"/>
            <w:shd w:val="clear" w:color="auto" w:fill="EEEEEE"/>
            <w:tcMar>
              <w:top w:w="75" w:type="dxa"/>
              <w:left w:w="75" w:type="dxa"/>
              <w:bottom w:w="75" w:type="dxa"/>
              <w:right w:w="75" w:type="dxa"/>
            </w:tcMar>
            <w:vAlign w:val="center"/>
            <w:hideMark/>
          </w:tcPr>
          <w:p w:rsidR="00A041AD" w:rsidRDefault="00A041AD">
            <w:pPr>
              <w:jc w:val="center"/>
            </w:pPr>
            <w:r>
              <w:rPr>
                <w:rFonts w:ascii="Arial" w:hAnsi="Arial" w:cs="Arial"/>
                <w:color w:val="555555"/>
                <w:sz w:val="18"/>
                <w:szCs w:val="18"/>
              </w:rPr>
              <w:t xml:space="preserve">Visit the HUD Exchange at </w:t>
            </w:r>
            <w:hyperlink r:id="rId49" w:tgtFrame="_blank" w:tooltip="https://www.hudexchange.info" w:history="1">
              <w:r>
                <w:rPr>
                  <w:rStyle w:val="Hyperlink"/>
                  <w:rFonts w:ascii="Arial" w:hAnsi="Arial" w:cs="Arial"/>
                  <w:color w:val="555555"/>
                  <w:sz w:val="18"/>
                  <w:szCs w:val="18"/>
                </w:rPr>
                <w:t>https://www.hudexchange.info</w:t>
              </w:r>
            </w:hyperlink>
          </w:p>
        </w:tc>
      </w:tr>
      <w:tr w:rsidR="00A041AD" w:rsidTr="00A041AD">
        <w:trPr>
          <w:tblCellSpacing w:w="0" w:type="dxa"/>
          <w:jc w:val="center"/>
        </w:trPr>
        <w:tc>
          <w:tcPr>
            <w:tcW w:w="0" w:type="auto"/>
            <w:shd w:val="clear" w:color="auto" w:fill="EEEEEE"/>
            <w:vAlign w:val="center"/>
            <w:hideMark/>
          </w:tcPr>
          <w:tbl>
            <w:tblPr>
              <w:tblW w:w="9000" w:type="dxa"/>
              <w:tblCellSpacing w:w="0" w:type="dxa"/>
              <w:tblCellMar>
                <w:left w:w="0" w:type="dxa"/>
                <w:right w:w="0" w:type="dxa"/>
              </w:tblCellMar>
              <w:tblLook w:val="04A0" w:firstRow="1" w:lastRow="0" w:firstColumn="1" w:lastColumn="0" w:noHBand="0" w:noVBand="1"/>
            </w:tblPr>
            <w:tblGrid>
              <w:gridCol w:w="664"/>
              <w:gridCol w:w="2171"/>
              <w:gridCol w:w="663"/>
              <w:gridCol w:w="2171"/>
              <w:gridCol w:w="497"/>
              <w:gridCol w:w="2171"/>
              <w:gridCol w:w="663"/>
            </w:tblGrid>
            <w:tr w:rsidR="00A041AD">
              <w:trPr>
                <w:trHeight w:val="75"/>
                <w:tblCellSpacing w:w="0" w:type="dxa"/>
              </w:trPr>
              <w:tc>
                <w:tcPr>
                  <w:tcW w:w="0" w:type="auto"/>
                  <w:gridSpan w:val="7"/>
                  <w:shd w:val="clear" w:color="auto" w:fill="EEEEEE"/>
                  <w:vAlign w:val="center"/>
                  <w:hideMark/>
                </w:tcPr>
                <w:p w:rsidR="00A041AD" w:rsidRDefault="00A041AD">
                  <w:pPr>
                    <w:spacing w:line="75" w:lineRule="atLeast"/>
                  </w:pPr>
                  <w:r>
                    <w:t> </w:t>
                  </w:r>
                </w:p>
              </w:tc>
            </w:tr>
            <w:tr w:rsidR="00A041AD">
              <w:trPr>
                <w:tblCellSpacing w:w="0" w:type="dxa"/>
              </w:trPr>
              <w:tc>
                <w:tcPr>
                  <w:tcW w:w="660" w:type="dxa"/>
                  <w:vAlign w:val="center"/>
                  <w:hideMark/>
                </w:tcPr>
                <w:p w:rsidR="00A041AD" w:rsidRDefault="00A041AD">
                  <w:pPr>
                    <w:rPr>
                      <w:rFonts w:eastAsia="Times New Roman"/>
                      <w:sz w:val="20"/>
                      <w:szCs w:val="20"/>
                    </w:rPr>
                  </w:pPr>
                </w:p>
              </w:tc>
              <w:tc>
                <w:tcPr>
                  <w:tcW w:w="2160" w:type="dxa"/>
                  <w:vAlign w:val="center"/>
                  <w:hideMark/>
                </w:tcPr>
                <w:p w:rsidR="00A041AD" w:rsidRDefault="00A041AD">
                  <w:r>
                    <w:rPr>
                      <w:noProof/>
                      <w:color w:val="0000FF"/>
                    </w:rPr>
                    <w:drawing>
                      <wp:inline distT="0" distB="0" distL="0" distR="0" wp14:anchorId="2F21D0EF" wp14:editId="3F592263">
                        <wp:extent cx="1371600" cy="476250"/>
                        <wp:effectExtent l="0" t="0" r="0" b="0"/>
                        <wp:docPr id="3" name="Picture 3" descr="Forward to a Friend">
                          <a:hlinkClick xmlns:a="http://schemas.openxmlformats.org/drawingml/2006/main" r:id="rId50" tgtFrame="_blank" tooltip="Forward to a Frie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ward to a Frien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tc>
              <w:tc>
                <w:tcPr>
                  <w:tcW w:w="660" w:type="dxa"/>
                  <w:vAlign w:val="center"/>
                  <w:hideMark/>
                </w:tcPr>
                <w:p w:rsidR="00A041AD" w:rsidRDefault="00A041AD">
                  <w:r>
                    <w:t> </w:t>
                  </w:r>
                </w:p>
              </w:tc>
              <w:tc>
                <w:tcPr>
                  <w:tcW w:w="2160" w:type="dxa"/>
                  <w:vAlign w:val="center"/>
                  <w:hideMark/>
                </w:tcPr>
                <w:p w:rsidR="00A041AD" w:rsidRDefault="00A041AD">
                  <w:r>
                    <w:rPr>
                      <w:noProof/>
                      <w:color w:val="0000FF"/>
                    </w:rPr>
                    <w:drawing>
                      <wp:inline distT="0" distB="0" distL="0" distR="0" wp14:anchorId="59890754" wp14:editId="78EB19C6">
                        <wp:extent cx="1371600" cy="476250"/>
                        <wp:effectExtent l="0" t="0" r="0" b="0"/>
                        <wp:docPr id="2" name="Picture 2" descr="Update Subscription">
                          <a:hlinkClick xmlns:a="http://schemas.openxmlformats.org/drawingml/2006/main" r:id="rId51" tgtFrame="_blank" tooltip="Update Subscrip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date Subscrip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tc>
              <w:tc>
                <w:tcPr>
                  <w:tcW w:w="495" w:type="dxa"/>
                  <w:vAlign w:val="center"/>
                  <w:hideMark/>
                </w:tcPr>
                <w:p w:rsidR="00A041AD" w:rsidRDefault="00A041AD">
                  <w:r>
                    <w:t> </w:t>
                  </w:r>
                </w:p>
              </w:tc>
              <w:tc>
                <w:tcPr>
                  <w:tcW w:w="2160" w:type="dxa"/>
                  <w:vAlign w:val="center"/>
                  <w:hideMark/>
                </w:tcPr>
                <w:p w:rsidR="00A041AD" w:rsidRDefault="00A041AD">
                  <w:r>
                    <w:rPr>
                      <w:noProof/>
                      <w:color w:val="0000FF"/>
                    </w:rPr>
                    <w:drawing>
                      <wp:inline distT="0" distB="0" distL="0" distR="0" wp14:anchorId="6E48AF39" wp14:editId="757705EE">
                        <wp:extent cx="1371600" cy="476250"/>
                        <wp:effectExtent l="0" t="0" r="0" b="0"/>
                        <wp:docPr id="1" name="Picture 1" descr="Unsubscribe from the List">
                          <a:hlinkClick xmlns:a="http://schemas.openxmlformats.org/drawingml/2006/main" r:id="rId52" tgtFrame="_blank" tooltip="Unsubscribe from the Li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subscribe from the Lis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tc>
              <w:tc>
                <w:tcPr>
                  <w:tcW w:w="660" w:type="dxa"/>
                  <w:vAlign w:val="center"/>
                  <w:hideMark/>
                </w:tcPr>
                <w:p w:rsidR="00A041AD" w:rsidRDefault="00A041AD">
                  <w:pPr>
                    <w:rPr>
                      <w:rFonts w:eastAsia="Times New Roman"/>
                      <w:sz w:val="20"/>
                      <w:szCs w:val="20"/>
                    </w:rPr>
                  </w:pPr>
                </w:p>
              </w:tc>
            </w:tr>
            <w:tr w:rsidR="00A041AD">
              <w:trPr>
                <w:trHeight w:val="75"/>
                <w:tblCellSpacing w:w="0" w:type="dxa"/>
              </w:trPr>
              <w:tc>
                <w:tcPr>
                  <w:tcW w:w="0" w:type="auto"/>
                  <w:gridSpan w:val="7"/>
                  <w:shd w:val="clear" w:color="auto" w:fill="EEEEEE"/>
                  <w:vAlign w:val="center"/>
                  <w:hideMark/>
                </w:tcPr>
                <w:p w:rsidR="00A041AD" w:rsidRDefault="00A041AD">
                  <w:pPr>
                    <w:spacing w:line="75" w:lineRule="atLeast"/>
                  </w:pPr>
                  <w:r>
                    <w:t> </w:t>
                  </w:r>
                </w:p>
              </w:tc>
            </w:tr>
            <w:tr w:rsidR="00A041AD">
              <w:trPr>
                <w:trHeight w:val="150"/>
                <w:tblCellSpacing w:w="0" w:type="dxa"/>
              </w:trPr>
              <w:tc>
                <w:tcPr>
                  <w:tcW w:w="0" w:type="auto"/>
                  <w:gridSpan w:val="7"/>
                  <w:shd w:val="clear" w:color="auto" w:fill="F07F2D"/>
                  <w:vAlign w:val="center"/>
                  <w:hideMark/>
                </w:tcPr>
                <w:p w:rsidR="00A041AD" w:rsidRDefault="00A041AD">
                  <w:pPr>
                    <w:spacing w:line="150" w:lineRule="atLeast"/>
                  </w:pPr>
                  <w:r>
                    <w:t> </w:t>
                  </w:r>
                </w:p>
              </w:tc>
            </w:tr>
          </w:tbl>
          <w:p w:rsidR="00A041AD" w:rsidRDefault="00A041AD">
            <w:pPr>
              <w:rPr>
                <w:rFonts w:eastAsia="Times New Roman"/>
                <w:sz w:val="20"/>
                <w:szCs w:val="20"/>
              </w:rPr>
            </w:pPr>
          </w:p>
        </w:tc>
      </w:tr>
      <w:tr w:rsidR="00A041AD" w:rsidTr="00A041AD">
        <w:trPr>
          <w:trHeight w:val="675"/>
          <w:tblCellSpacing w:w="0" w:type="dxa"/>
          <w:jc w:val="center"/>
        </w:trPr>
        <w:tc>
          <w:tcPr>
            <w:tcW w:w="0" w:type="auto"/>
            <w:shd w:val="clear" w:color="auto" w:fill="FFFFFF"/>
            <w:vAlign w:val="center"/>
            <w:hideMark/>
          </w:tcPr>
          <w:tbl>
            <w:tblPr>
              <w:tblW w:w="0" w:type="auto"/>
              <w:tblCellSpacing w:w="15" w:type="dxa"/>
              <w:tblCellMar>
                <w:left w:w="0" w:type="dxa"/>
                <w:right w:w="0" w:type="dxa"/>
              </w:tblCellMar>
              <w:tblLook w:val="04A0" w:firstRow="1" w:lastRow="0" w:firstColumn="1" w:lastColumn="0" w:noHBand="0" w:noVBand="1"/>
            </w:tblPr>
            <w:tblGrid>
              <w:gridCol w:w="6952"/>
            </w:tblGrid>
            <w:tr w:rsidR="00A041AD">
              <w:trPr>
                <w:tblCellSpacing w:w="15" w:type="dxa"/>
              </w:trPr>
              <w:tc>
                <w:tcPr>
                  <w:tcW w:w="0" w:type="auto"/>
                  <w:tcMar>
                    <w:top w:w="15" w:type="dxa"/>
                    <w:left w:w="15" w:type="dxa"/>
                    <w:bottom w:w="15" w:type="dxa"/>
                    <w:right w:w="15" w:type="dxa"/>
                  </w:tcMar>
                  <w:vAlign w:val="center"/>
                  <w:hideMark/>
                </w:tcPr>
                <w:p w:rsidR="00A041AD" w:rsidRDefault="00A041AD">
                  <w:pPr>
                    <w:spacing w:line="195" w:lineRule="atLeast"/>
                  </w:pPr>
                  <w:r>
                    <w:rPr>
                      <w:rFonts w:ascii="Arial" w:hAnsi="Arial" w:cs="Arial"/>
                      <w:color w:val="4C4C4C"/>
                      <w:sz w:val="15"/>
                      <w:szCs w:val="15"/>
                    </w:rPr>
                    <w:t xml:space="preserve">This email was sent to </w:t>
                  </w:r>
                  <w:hyperlink r:id="rId53" w:history="1">
                    <w:r>
                      <w:rPr>
                        <w:rStyle w:val="Hyperlink"/>
                        <w:rFonts w:ascii="Arial" w:hAnsi="Arial" w:cs="Arial"/>
                        <w:sz w:val="15"/>
                        <w:szCs w:val="15"/>
                      </w:rPr>
                      <w:t>ppaladino@MAINEHOUSING.ORG</w:t>
                    </w:r>
                  </w:hyperlink>
                  <w:r>
                    <w:rPr>
                      <w:rFonts w:ascii="Arial" w:hAnsi="Arial" w:cs="Arial"/>
                      <w:color w:val="4C4C4C"/>
                      <w:sz w:val="15"/>
                      <w:szCs w:val="15"/>
                    </w:rPr>
                    <w:t xml:space="preserve"> by </w:t>
                  </w:r>
                  <w:hyperlink r:id="rId54" w:history="1">
                    <w:r>
                      <w:rPr>
                        <w:rStyle w:val="Hyperlink"/>
                        <w:rFonts w:ascii="Arial" w:hAnsi="Arial" w:cs="Arial"/>
                        <w:color w:val="4C4C4C"/>
                        <w:sz w:val="15"/>
                        <w:szCs w:val="15"/>
                      </w:rPr>
                      <w:t>news@mail.hudexchange.info</w:t>
                    </w:r>
                  </w:hyperlink>
                  <w:r>
                    <w:rPr>
                      <w:rFonts w:ascii="Arial" w:hAnsi="Arial" w:cs="Arial"/>
                      <w:color w:val="4C4C4C"/>
                      <w:sz w:val="15"/>
                      <w:szCs w:val="15"/>
                    </w:rPr>
                    <w:t xml:space="preserve"> </w:t>
                  </w:r>
                  <w:r>
                    <w:rPr>
                      <w:rFonts w:ascii="Arial" w:hAnsi="Arial" w:cs="Arial"/>
                      <w:color w:val="4C4C4C"/>
                      <w:sz w:val="15"/>
                      <w:szCs w:val="15"/>
                    </w:rPr>
                    <w:br/>
                  </w:r>
                  <w:hyperlink r:id="rId55" w:history="1">
                    <w:r>
                      <w:rPr>
                        <w:rStyle w:val="Hyperlink"/>
                        <w:rFonts w:ascii="Arial" w:hAnsi="Arial" w:cs="Arial"/>
                        <w:color w:val="4C4C4C"/>
                        <w:sz w:val="15"/>
                        <w:szCs w:val="15"/>
                      </w:rPr>
                      <w:t>Update Profile/Email Address</w:t>
                    </w:r>
                  </w:hyperlink>
                  <w:r>
                    <w:rPr>
                      <w:rFonts w:ascii="Arial" w:hAnsi="Arial" w:cs="Arial"/>
                      <w:color w:val="4C4C4C"/>
                      <w:sz w:val="15"/>
                      <w:szCs w:val="15"/>
                    </w:rPr>
                    <w:t xml:space="preserve"> | </w:t>
                  </w:r>
                  <w:hyperlink r:id="rId56" w:history="1">
                    <w:r>
                      <w:rPr>
                        <w:rStyle w:val="Hyperlink"/>
                        <w:rFonts w:ascii="Arial" w:hAnsi="Arial" w:cs="Arial"/>
                        <w:color w:val="4C4C4C"/>
                        <w:sz w:val="15"/>
                        <w:szCs w:val="15"/>
                      </w:rPr>
                      <w:t xml:space="preserve">Instant removal with </w:t>
                    </w:r>
                    <w:proofErr w:type="spellStart"/>
                    <w:r>
                      <w:rPr>
                        <w:rStyle w:val="Hyperlink"/>
                        <w:rFonts w:ascii="Arial" w:hAnsi="Arial" w:cs="Arial"/>
                        <w:color w:val="4C4C4C"/>
                        <w:sz w:val="15"/>
                        <w:szCs w:val="15"/>
                      </w:rPr>
                      <w:t>SafeUnsubscribe</w:t>
                    </w:r>
                  </w:hyperlink>
                  <w:r>
                    <w:rPr>
                      <w:rFonts w:ascii="Arial" w:hAnsi="Arial" w:cs="Arial"/>
                      <w:color w:val="4C4C4C"/>
                      <w:sz w:val="14"/>
                      <w:szCs w:val="14"/>
                      <w:vertAlign w:val="superscript"/>
                    </w:rPr>
                    <w:t>TM</w:t>
                  </w:r>
                  <w:proofErr w:type="spellEnd"/>
                  <w:r>
                    <w:rPr>
                      <w:rFonts w:ascii="Arial" w:hAnsi="Arial" w:cs="Arial"/>
                      <w:color w:val="4C4C4C"/>
                      <w:sz w:val="15"/>
                      <w:szCs w:val="15"/>
                    </w:rPr>
                    <w:t xml:space="preserve"> | </w:t>
                  </w:r>
                  <w:hyperlink r:id="rId57" w:history="1">
                    <w:r>
                      <w:rPr>
                        <w:rStyle w:val="Hyperlink"/>
                        <w:rFonts w:ascii="Arial" w:hAnsi="Arial" w:cs="Arial"/>
                        <w:color w:val="4C4C4C"/>
                        <w:sz w:val="15"/>
                        <w:szCs w:val="15"/>
                      </w:rPr>
                      <w:t>Privacy Policy</w:t>
                    </w:r>
                  </w:hyperlink>
                  <w:r>
                    <w:rPr>
                      <w:rFonts w:ascii="Arial" w:hAnsi="Arial" w:cs="Arial"/>
                      <w:color w:val="4C4C4C"/>
                      <w:sz w:val="15"/>
                      <w:szCs w:val="15"/>
                    </w:rPr>
                    <w:br/>
                    <w:t>U.S. Department of Housing and Urban Development I 451 7th Street S.W. I Washington I D.C. I 20410</w:t>
                  </w:r>
                  <w:r>
                    <w:t xml:space="preserve"> </w:t>
                  </w:r>
                </w:p>
              </w:tc>
            </w:tr>
          </w:tbl>
          <w:p w:rsidR="00A041AD" w:rsidRDefault="00A041AD">
            <w:pPr>
              <w:rPr>
                <w:rFonts w:eastAsia="Times New Roman"/>
                <w:sz w:val="20"/>
                <w:szCs w:val="20"/>
              </w:rPr>
            </w:pPr>
          </w:p>
        </w:tc>
      </w:tr>
    </w:tbl>
    <w:p w:rsidR="00FE4D1B" w:rsidRDefault="00FE4D1B"/>
    <w:sectPr w:rsidR="00FE4D1B" w:rsidSect="00A041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AD" w:rsidRDefault="00A041AD" w:rsidP="00A041AD">
      <w:r>
        <w:separator/>
      </w:r>
    </w:p>
  </w:endnote>
  <w:endnote w:type="continuationSeparator" w:id="0">
    <w:p w:rsidR="00A041AD" w:rsidRDefault="00A041AD" w:rsidP="00A0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AD" w:rsidRDefault="00A041AD" w:rsidP="00A041AD">
      <w:r>
        <w:separator/>
      </w:r>
    </w:p>
  </w:footnote>
  <w:footnote w:type="continuationSeparator" w:id="0">
    <w:p w:rsidR="00A041AD" w:rsidRDefault="00A041AD" w:rsidP="00A04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92FF7"/>
    <w:multiLevelType w:val="multilevel"/>
    <w:tmpl w:val="A19C4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AD"/>
    <w:rsid w:val="008A3579"/>
    <w:rsid w:val="00A041AD"/>
    <w:rsid w:val="00FE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AD"/>
    <w:rPr>
      <w:rFonts w:ascii="Times New Roman" w:hAnsi="Times New Roman" w:cs="Times New Roman"/>
      <w:szCs w:val="24"/>
    </w:rPr>
  </w:style>
  <w:style w:type="paragraph" w:styleId="Heading2">
    <w:name w:val="heading 2"/>
    <w:basedOn w:val="Normal"/>
    <w:link w:val="Heading2Char"/>
    <w:uiPriority w:val="9"/>
    <w:unhideWhenUsed/>
    <w:qFormat/>
    <w:rsid w:val="00A041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1AD"/>
    <w:rPr>
      <w:rFonts w:ascii="Times New Roman" w:hAnsi="Times New Roman" w:cs="Times New Roman"/>
      <w:b/>
      <w:bCs/>
      <w:sz w:val="36"/>
      <w:szCs w:val="36"/>
    </w:rPr>
  </w:style>
  <w:style w:type="character" w:styleId="Hyperlink">
    <w:name w:val="Hyperlink"/>
    <w:basedOn w:val="DefaultParagraphFont"/>
    <w:uiPriority w:val="99"/>
    <w:semiHidden/>
    <w:unhideWhenUsed/>
    <w:rsid w:val="00A041AD"/>
    <w:rPr>
      <w:color w:val="0000FF"/>
      <w:u w:val="single"/>
    </w:rPr>
  </w:style>
  <w:style w:type="paragraph" w:styleId="NormalWeb">
    <w:name w:val="Normal (Web)"/>
    <w:basedOn w:val="Normal"/>
    <w:uiPriority w:val="99"/>
    <w:unhideWhenUsed/>
    <w:rsid w:val="00A041AD"/>
    <w:pPr>
      <w:spacing w:before="100" w:beforeAutospacing="1" w:after="100" w:afterAutospacing="1"/>
    </w:pPr>
  </w:style>
  <w:style w:type="character" w:styleId="Emphasis">
    <w:name w:val="Emphasis"/>
    <w:basedOn w:val="DefaultParagraphFont"/>
    <w:uiPriority w:val="20"/>
    <w:qFormat/>
    <w:rsid w:val="00A041AD"/>
    <w:rPr>
      <w:i/>
      <w:iCs/>
    </w:rPr>
  </w:style>
  <w:style w:type="paragraph" w:styleId="BalloonText">
    <w:name w:val="Balloon Text"/>
    <w:basedOn w:val="Normal"/>
    <w:link w:val="BalloonTextChar"/>
    <w:uiPriority w:val="99"/>
    <w:semiHidden/>
    <w:unhideWhenUsed/>
    <w:rsid w:val="00A041AD"/>
    <w:rPr>
      <w:rFonts w:ascii="Tahoma" w:hAnsi="Tahoma" w:cs="Tahoma"/>
      <w:sz w:val="16"/>
      <w:szCs w:val="16"/>
    </w:rPr>
  </w:style>
  <w:style w:type="character" w:customStyle="1" w:styleId="BalloonTextChar">
    <w:name w:val="Balloon Text Char"/>
    <w:basedOn w:val="DefaultParagraphFont"/>
    <w:link w:val="BalloonText"/>
    <w:uiPriority w:val="99"/>
    <w:semiHidden/>
    <w:rsid w:val="00A041AD"/>
    <w:rPr>
      <w:rFonts w:ascii="Tahoma" w:hAnsi="Tahoma" w:cs="Tahoma"/>
      <w:sz w:val="16"/>
      <w:szCs w:val="16"/>
    </w:rPr>
  </w:style>
  <w:style w:type="paragraph" w:styleId="Header">
    <w:name w:val="header"/>
    <w:basedOn w:val="Normal"/>
    <w:link w:val="HeaderChar"/>
    <w:uiPriority w:val="99"/>
    <w:unhideWhenUsed/>
    <w:rsid w:val="00A041AD"/>
    <w:pPr>
      <w:tabs>
        <w:tab w:val="center" w:pos="4680"/>
        <w:tab w:val="right" w:pos="9360"/>
      </w:tabs>
    </w:pPr>
  </w:style>
  <w:style w:type="character" w:customStyle="1" w:styleId="HeaderChar">
    <w:name w:val="Header Char"/>
    <w:basedOn w:val="DefaultParagraphFont"/>
    <w:link w:val="Header"/>
    <w:uiPriority w:val="99"/>
    <w:rsid w:val="00A041AD"/>
    <w:rPr>
      <w:rFonts w:ascii="Times New Roman" w:hAnsi="Times New Roman" w:cs="Times New Roman"/>
      <w:szCs w:val="24"/>
    </w:rPr>
  </w:style>
  <w:style w:type="paragraph" w:styleId="Footer">
    <w:name w:val="footer"/>
    <w:basedOn w:val="Normal"/>
    <w:link w:val="FooterChar"/>
    <w:uiPriority w:val="99"/>
    <w:unhideWhenUsed/>
    <w:rsid w:val="00A041AD"/>
    <w:pPr>
      <w:tabs>
        <w:tab w:val="center" w:pos="4680"/>
        <w:tab w:val="right" w:pos="9360"/>
      </w:tabs>
    </w:pPr>
  </w:style>
  <w:style w:type="character" w:customStyle="1" w:styleId="FooterChar">
    <w:name w:val="Footer Char"/>
    <w:basedOn w:val="DefaultParagraphFont"/>
    <w:link w:val="Footer"/>
    <w:uiPriority w:val="99"/>
    <w:rsid w:val="00A041AD"/>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AD"/>
    <w:rPr>
      <w:rFonts w:ascii="Times New Roman" w:hAnsi="Times New Roman" w:cs="Times New Roman"/>
      <w:szCs w:val="24"/>
    </w:rPr>
  </w:style>
  <w:style w:type="paragraph" w:styleId="Heading2">
    <w:name w:val="heading 2"/>
    <w:basedOn w:val="Normal"/>
    <w:link w:val="Heading2Char"/>
    <w:uiPriority w:val="9"/>
    <w:unhideWhenUsed/>
    <w:qFormat/>
    <w:rsid w:val="00A041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1AD"/>
    <w:rPr>
      <w:rFonts w:ascii="Times New Roman" w:hAnsi="Times New Roman" w:cs="Times New Roman"/>
      <w:b/>
      <w:bCs/>
      <w:sz w:val="36"/>
      <w:szCs w:val="36"/>
    </w:rPr>
  </w:style>
  <w:style w:type="character" w:styleId="Hyperlink">
    <w:name w:val="Hyperlink"/>
    <w:basedOn w:val="DefaultParagraphFont"/>
    <w:uiPriority w:val="99"/>
    <w:semiHidden/>
    <w:unhideWhenUsed/>
    <w:rsid w:val="00A041AD"/>
    <w:rPr>
      <w:color w:val="0000FF"/>
      <w:u w:val="single"/>
    </w:rPr>
  </w:style>
  <w:style w:type="paragraph" w:styleId="NormalWeb">
    <w:name w:val="Normal (Web)"/>
    <w:basedOn w:val="Normal"/>
    <w:uiPriority w:val="99"/>
    <w:unhideWhenUsed/>
    <w:rsid w:val="00A041AD"/>
    <w:pPr>
      <w:spacing w:before="100" w:beforeAutospacing="1" w:after="100" w:afterAutospacing="1"/>
    </w:pPr>
  </w:style>
  <w:style w:type="character" w:styleId="Emphasis">
    <w:name w:val="Emphasis"/>
    <w:basedOn w:val="DefaultParagraphFont"/>
    <w:uiPriority w:val="20"/>
    <w:qFormat/>
    <w:rsid w:val="00A041AD"/>
    <w:rPr>
      <w:i/>
      <w:iCs/>
    </w:rPr>
  </w:style>
  <w:style w:type="paragraph" w:styleId="BalloonText">
    <w:name w:val="Balloon Text"/>
    <w:basedOn w:val="Normal"/>
    <w:link w:val="BalloonTextChar"/>
    <w:uiPriority w:val="99"/>
    <w:semiHidden/>
    <w:unhideWhenUsed/>
    <w:rsid w:val="00A041AD"/>
    <w:rPr>
      <w:rFonts w:ascii="Tahoma" w:hAnsi="Tahoma" w:cs="Tahoma"/>
      <w:sz w:val="16"/>
      <w:szCs w:val="16"/>
    </w:rPr>
  </w:style>
  <w:style w:type="character" w:customStyle="1" w:styleId="BalloonTextChar">
    <w:name w:val="Balloon Text Char"/>
    <w:basedOn w:val="DefaultParagraphFont"/>
    <w:link w:val="BalloonText"/>
    <w:uiPriority w:val="99"/>
    <w:semiHidden/>
    <w:rsid w:val="00A041AD"/>
    <w:rPr>
      <w:rFonts w:ascii="Tahoma" w:hAnsi="Tahoma" w:cs="Tahoma"/>
      <w:sz w:val="16"/>
      <w:szCs w:val="16"/>
    </w:rPr>
  </w:style>
  <w:style w:type="paragraph" w:styleId="Header">
    <w:name w:val="header"/>
    <w:basedOn w:val="Normal"/>
    <w:link w:val="HeaderChar"/>
    <w:uiPriority w:val="99"/>
    <w:unhideWhenUsed/>
    <w:rsid w:val="00A041AD"/>
    <w:pPr>
      <w:tabs>
        <w:tab w:val="center" w:pos="4680"/>
        <w:tab w:val="right" w:pos="9360"/>
      </w:tabs>
    </w:pPr>
  </w:style>
  <w:style w:type="character" w:customStyle="1" w:styleId="HeaderChar">
    <w:name w:val="Header Char"/>
    <w:basedOn w:val="DefaultParagraphFont"/>
    <w:link w:val="Header"/>
    <w:uiPriority w:val="99"/>
    <w:rsid w:val="00A041AD"/>
    <w:rPr>
      <w:rFonts w:ascii="Times New Roman" w:hAnsi="Times New Roman" w:cs="Times New Roman"/>
      <w:szCs w:val="24"/>
    </w:rPr>
  </w:style>
  <w:style w:type="paragraph" w:styleId="Footer">
    <w:name w:val="footer"/>
    <w:basedOn w:val="Normal"/>
    <w:link w:val="FooterChar"/>
    <w:uiPriority w:val="99"/>
    <w:unhideWhenUsed/>
    <w:rsid w:val="00A041AD"/>
    <w:pPr>
      <w:tabs>
        <w:tab w:val="center" w:pos="4680"/>
        <w:tab w:val="right" w:pos="9360"/>
      </w:tabs>
    </w:pPr>
  </w:style>
  <w:style w:type="character" w:customStyle="1" w:styleId="FooterChar">
    <w:name w:val="Footer Char"/>
    <w:basedOn w:val="DefaultParagraphFont"/>
    <w:link w:val="Footer"/>
    <w:uiPriority w:val="99"/>
    <w:rsid w:val="00A041A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9298">
      <w:bodyDiv w:val="1"/>
      <w:marLeft w:val="0"/>
      <w:marRight w:val="0"/>
      <w:marTop w:val="0"/>
      <w:marBottom w:val="0"/>
      <w:divBdr>
        <w:top w:val="none" w:sz="0" w:space="0" w:color="auto"/>
        <w:left w:val="none" w:sz="0" w:space="0" w:color="auto"/>
        <w:bottom w:val="none" w:sz="0" w:space="0" w:color="auto"/>
        <w:right w:val="none" w:sz="0" w:space="0" w:color="auto"/>
      </w:divBdr>
    </w:div>
    <w:div w:id="1918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dexchange.us5.list-manage.com/track/click?u=87d7c8afc03ba69ee70d865b9&amp;id=dc1113a72a&amp;e=28c03da8e2" TargetMode="External"/><Relationship Id="rId18" Type="http://schemas.openxmlformats.org/officeDocument/2006/relationships/image" Target="media/image4.jpeg"/><Relationship Id="rId26" Type="http://schemas.openxmlformats.org/officeDocument/2006/relationships/hyperlink" Target="http://us5.forward-to-friend1.com/forward?u=87d7c8afc03ba69ee70d865b9&amp;id=d79a1ed0db&amp;e=28c03da8e2" TargetMode="External"/><Relationship Id="rId39" Type="http://schemas.openxmlformats.org/officeDocument/2006/relationships/hyperlink" Target="http://hudexchange.us5.list-manage1.com/track/click?u=87d7c8afc03ba69ee70d865b9&amp;id=4f3315706a&amp;e=28c03da8e2" TargetMode="External"/><Relationship Id="rId21" Type="http://schemas.openxmlformats.org/officeDocument/2006/relationships/hyperlink" Target="http://hudexchange.us5.list-manage.com/track/click?u=87d7c8afc03ba69ee70d865b9&amp;id=d6bb910b9d&amp;e=28c03da8e2" TargetMode="External"/><Relationship Id="rId34" Type="http://schemas.openxmlformats.org/officeDocument/2006/relationships/hyperlink" Target="http://hudexchange.us5.list-manage.com/profile?u=87d7c8afc03ba69ee70d865b9&amp;id=f32b935a5f&amp;e=28c03da8e2" TargetMode="External"/><Relationship Id="rId42" Type="http://schemas.openxmlformats.org/officeDocument/2006/relationships/hyperlink" Target="http://hudexchange.us5.list-manage1.com/track/click?u=87d7c8afc03ba69ee70d865b9&amp;id=ec52acb90f&amp;e=28c03da8e2" TargetMode="External"/><Relationship Id="rId47" Type="http://schemas.openxmlformats.org/officeDocument/2006/relationships/hyperlink" Target="http://hudexchange.us5.list-manage.com/track/click?u=87d7c8afc03ba69ee70d865b9&amp;id=3061735c60&amp;e=28c03da8e2" TargetMode="External"/><Relationship Id="rId50" Type="http://schemas.openxmlformats.org/officeDocument/2006/relationships/hyperlink" Target="http://us5.forward-to-friend2.com/forward?u=87d7c8afc03ba69ee70d865b9&amp;id=6039fa9298&amp;e=28c03da8e2" TargetMode="External"/><Relationship Id="rId55" Type="http://schemas.openxmlformats.org/officeDocument/2006/relationships/hyperlink" Target="http://hudexchange.us5.list-manage1.com/profile?u=87d7c8afc03ba69ee70d865b9&amp;id=f32b935a5f&amp;e=28c03da8e2"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hudexchange.us5.list-manage.com/track/click?u=87d7c8afc03ba69ee70d865b9&amp;id=42f1b3b8ac&amp;e=28c03da8e2" TargetMode="External"/><Relationship Id="rId25" Type="http://schemas.openxmlformats.org/officeDocument/2006/relationships/hyperlink" Target="http://hudexchange.us5.list-manage.com/track/click?u=87d7c8afc03ba69ee70d865b9&amp;id=22e57c13b8&amp;e=28c03da8e2" TargetMode="External"/><Relationship Id="rId33" Type="http://schemas.openxmlformats.org/officeDocument/2006/relationships/hyperlink" Target="mailto:news@mail.hudexchange.info" TargetMode="External"/><Relationship Id="rId38" Type="http://schemas.openxmlformats.org/officeDocument/2006/relationships/hyperlink" Target="http://us5.campaign-archive1.com/?u=87d7c8afc03ba69ee70d865b9&amp;id=6039fa9298&amp;e=28c03da8e2" TargetMode="External"/><Relationship Id="rId46" Type="http://schemas.openxmlformats.org/officeDocument/2006/relationships/hyperlink" Target="http://hudexchange.us5.list-manage2.com/track/click?u=87d7c8afc03ba69ee70d865b9&amp;id=57255b2a6a&amp;e=28c03da8e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udexchange.us5.list-manage2.com/track/click?u=87d7c8afc03ba69ee70d865b9&amp;id=1962d6ccf1&amp;e=28c03da8e2" TargetMode="External"/><Relationship Id="rId20" Type="http://schemas.openxmlformats.org/officeDocument/2006/relationships/image" Target="media/image5.jpeg"/><Relationship Id="rId29" Type="http://schemas.openxmlformats.org/officeDocument/2006/relationships/image" Target="media/image9.png"/><Relationship Id="rId41" Type="http://schemas.openxmlformats.org/officeDocument/2006/relationships/hyperlink" Target="http://hudexchange.us5.list-manage.com/track/click?u=87d7c8afc03ba69ee70d865b9&amp;id=451d2dc90b&amp;e=28c03da8e2" TargetMode="External"/><Relationship Id="rId54" Type="http://schemas.openxmlformats.org/officeDocument/2006/relationships/hyperlink" Target="mailto:news@mail.hudexchange.in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jpeg"/><Relationship Id="rId32" Type="http://schemas.openxmlformats.org/officeDocument/2006/relationships/hyperlink" Target="mailto:ppaladino@MAINEHOUSING.ORG" TargetMode="External"/><Relationship Id="rId37" Type="http://schemas.openxmlformats.org/officeDocument/2006/relationships/image" Target="media/image11.gif"/><Relationship Id="rId40" Type="http://schemas.openxmlformats.org/officeDocument/2006/relationships/hyperlink" Target="http://hudexchange.us5.list-manage.com/track/click?u=87d7c8afc03ba69ee70d865b9&amp;id=01f2d04f11&amp;e=28c03da8e2" TargetMode="External"/><Relationship Id="rId45" Type="http://schemas.openxmlformats.org/officeDocument/2006/relationships/hyperlink" Target="http://hudexchange.us5.list-manage.com/track/click?u=87d7c8afc03ba69ee70d865b9&amp;id=742fb817a2&amp;e=28c03da8e2" TargetMode="External"/><Relationship Id="rId53" Type="http://schemas.openxmlformats.org/officeDocument/2006/relationships/hyperlink" Target="mailto:ppaladino@MAINEHOUSING.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udexchange.us5.list-manage.com/track/click?u=87d7c8afc03ba69ee70d865b9&amp;id=81a6e5aee4&amp;e=28c03da8e2" TargetMode="External"/><Relationship Id="rId23" Type="http://schemas.openxmlformats.org/officeDocument/2006/relationships/hyperlink" Target="http://hudexchange.us5.list-manage1.com/track/click?u=87d7c8afc03ba69ee70d865b9&amp;id=97ad7a0d23&amp;e=28c03da8e2" TargetMode="External"/><Relationship Id="rId28" Type="http://schemas.openxmlformats.org/officeDocument/2006/relationships/hyperlink" Target="http://hudexchange.us5.list-manage.com/profile?u=87d7c8afc03ba69ee70d865b9&amp;id=f32b935a5f&amp;e=28c03da8e2" TargetMode="External"/><Relationship Id="rId36" Type="http://schemas.openxmlformats.org/officeDocument/2006/relationships/hyperlink" Target="http://hudexchange.us5.list-manage.com/track/click?u=87d7c8afc03ba69ee70d865b9&amp;id=3141eb2e5d&amp;e=28c03da8e2" TargetMode="External"/><Relationship Id="rId49" Type="http://schemas.openxmlformats.org/officeDocument/2006/relationships/hyperlink" Target="http://hudexchange.us5.list-manage.com/track/click?u=87d7c8afc03ba69ee70d865b9&amp;id=a9528dc05d&amp;e=28c03da8e2" TargetMode="External"/><Relationship Id="rId57" Type="http://schemas.openxmlformats.org/officeDocument/2006/relationships/hyperlink" Target="http://hudexchange.us5.list-manage1.com/track/click?u=87d7c8afc03ba69ee70d865b9&amp;id=b5e899878d&amp;e=28c03da8e2" TargetMode="External"/><Relationship Id="rId10" Type="http://schemas.openxmlformats.org/officeDocument/2006/relationships/hyperlink" Target="http://hudexchange.us5.list-manage.com/track/click?u=87d7c8afc03ba69ee70d865b9&amp;id=75822b15a1&amp;e=28c03da8e2" TargetMode="External"/><Relationship Id="rId19" Type="http://schemas.openxmlformats.org/officeDocument/2006/relationships/hyperlink" Target="http://hudexchange.us5.list-manage.com/track/click?u=87d7c8afc03ba69ee70d865b9&amp;id=c448338ee9&amp;e=28c03da8e2" TargetMode="External"/><Relationship Id="rId31" Type="http://schemas.openxmlformats.org/officeDocument/2006/relationships/image" Target="media/image10.png"/><Relationship Id="rId44" Type="http://schemas.openxmlformats.org/officeDocument/2006/relationships/hyperlink" Target="http://hudexchange.us5.list-manage.com/track/click?u=87d7c8afc03ba69ee70d865b9&amp;id=a08b2a65fa&amp;e=28c03da8e2" TargetMode="External"/><Relationship Id="rId52" Type="http://schemas.openxmlformats.org/officeDocument/2006/relationships/hyperlink" Target="http://hudexchange.us5.list-manage2.com/unsubscribe?u=87d7c8afc03ba69ee70d865b9&amp;id=f32b935a5f&amp;e=28c03da8e2&amp;c=6039fa929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udexchange.us5.list-manage.com/track/click?u=87d7c8afc03ba69ee70d865b9&amp;id=7610a099d6&amp;e=28c03da8e2" TargetMode="External"/><Relationship Id="rId22" Type="http://schemas.openxmlformats.org/officeDocument/2006/relationships/image" Target="media/image6.jpeg"/><Relationship Id="rId27" Type="http://schemas.openxmlformats.org/officeDocument/2006/relationships/image" Target="media/image8.png"/><Relationship Id="rId30" Type="http://schemas.openxmlformats.org/officeDocument/2006/relationships/hyperlink" Target="http://hudexchange.us5.list-manage.com/unsubscribe?u=87d7c8afc03ba69ee70d865b9&amp;id=f32b935a5f&amp;e=28c03da8e2&amp;c=d79a1ed0db" TargetMode="External"/><Relationship Id="rId35" Type="http://schemas.openxmlformats.org/officeDocument/2006/relationships/hyperlink" Target="http://hudexchange.us5.list-manage.com/unsubscribe?u=87d7c8afc03ba69ee70d865b9&amp;id=f32b935a5f&amp;e=28c03da8e2&amp;c=d79a1ed0db" TargetMode="External"/><Relationship Id="rId43" Type="http://schemas.openxmlformats.org/officeDocument/2006/relationships/hyperlink" Target="http://hudexchange.us5.list-manage.com/track/click?u=87d7c8afc03ba69ee70d865b9&amp;id=b4eec093b7&amp;e=28c03da8e2" TargetMode="External"/><Relationship Id="rId48" Type="http://schemas.openxmlformats.org/officeDocument/2006/relationships/hyperlink" Target="http://hudexchange.us5.list-manage1.com/track/click?u=87d7c8afc03ba69ee70d865b9&amp;id=fd90957622&amp;e=28c03da8e2" TargetMode="External"/><Relationship Id="rId56" Type="http://schemas.openxmlformats.org/officeDocument/2006/relationships/hyperlink" Target="http://hudexchange.us5.list-manage2.com/unsubscribe?u=87d7c8afc03ba69ee70d865b9&amp;id=f32b935a5f&amp;e=28c03da8e2&amp;c=6039fa9298" TargetMode="External"/><Relationship Id="rId8" Type="http://schemas.openxmlformats.org/officeDocument/2006/relationships/hyperlink" Target="http://us5.campaign-archive2.com/?u=87d7c8afc03ba69ee70d865b9&amp;id=d79a1ed0db&amp;e=28c03da8e2" TargetMode="External"/><Relationship Id="rId51" Type="http://schemas.openxmlformats.org/officeDocument/2006/relationships/hyperlink" Target="http://hudexchange.us5.list-manage1.com/profile?u=87d7c8afc03ba69ee70d865b9&amp;id=f32b935a5f&amp;e=28c03da8e2" TargetMode="External"/><Relationship Id="rId3" Type="http://schemas.microsoft.com/office/2007/relationships/stylesWithEffects" Target="stylesWithEffect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1</cp:revision>
  <dcterms:created xsi:type="dcterms:W3CDTF">2015-12-10T14:24:00Z</dcterms:created>
  <dcterms:modified xsi:type="dcterms:W3CDTF">2015-12-10T14:30:00Z</dcterms:modified>
</cp:coreProperties>
</file>