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34" w:rsidRDefault="00723640" w:rsidP="00A170D0">
      <w:pPr>
        <w:jc w:val="center"/>
        <w:rPr>
          <w:b/>
        </w:rPr>
      </w:pPr>
      <w:r>
        <w:rPr>
          <w:b/>
        </w:rPr>
        <w:t xml:space="preserve">MCoC </w:t>
      </w:r>
      <w:r w:rsidR="00A170D0">
        <w:rPr>
          <w:b/>
        </w:rPr>
        <w:t xml:space="preserve">Work Plan Summary </w:t>
      </w:r>
    </w:p>
    <w:p w:rsidR="00A170D0" w:rsidRDefault="00A170D0" w:rsidP="00A170D0">
      <w:pPr>
        <w:jc w:val="center"/>
        <w:rPr>
          <w:b/>
        </w:rPr>
      </w:pPr>
      <w:r>
        <w:rPr>
          <w:b/>
        </w:rPr>
        <w:t>5-5-14</w:t>
      </w:r>
    </w:p>
    <w:p w:rsidR="00B71CB0" w:rsidRDefault="00B71CB0" w:rsidP="00B71CB0">
      <w:pPr>
        <w:jc w:val="both"/>
        <w:rPr>
          <w:b/>
        </w:rPr>
      </w:pPr>
      <w:r>
        <w:rPr>
          <w:b/>
        </w:rPr>
        <w:t>Priorities:</w:t>
      </w:r>
    </w:p>
    <w:p w:rsidR="00A170D0" w:rsidRPr="002532CE" w:rsidRDefault="00A170D0" w:rsidP="00723640">
      <w:pPr>
        <w:pStyle w:val="ListParagraph"/>
        <w:numPr>
          <w:ilvl w:val="0"/>
          <w:numId w:val="5"/>
        </w:numPr>
        <w:spacing w:before="240" w:after="120"/>
        <w:rPr>
          <w:b/>
          <w:szCs w:val="24"/>
        </w:rPr>
      </w:pPr>
      <w:r w:rsidRPr="002532CE">
        <w:rPr>
          <w:b/>
          <w:szCs w:val="24"/>
        </w:rPr>
        <w:t>Create new permanent housing beds for chronically homeless persons.</w:t>
      </w:r>
    </w:p>
    <w:p w:rsidR="00B71CB0" w:rsidRDefault="00B71CB0" w:rsidP="00B71CB0">
      <w:pPr>
        <w:spacing w:before="120" w:after="120" w:line="240" w:lineRule="auto"/>
        <w:contextualSpacing/>
        <w:rPr>
          <w:sz w:val="24"/>
          <w:szCs w:val="24"/>
        </w:rPr>
      </w:pPr>
    </w:p>
    <w:p w:rsidR="004954DF" w:rsidRPr="002532CE" w:rsidRDefault="00B71CB0" w:rsidP="00723640">
      <w:pPr>
        <w:pStyle w:val="ListParagraph"/>
        <w:numPr>
          <w:ilvl w:val="0"/>
          <w:numId w:val="5"/>
        </w:numPr>
        <w:spacing w:before="120" w:after="120"/>
        <w:rPr>
          <w:b/>
          <w:szCs w:val="24"/>
        </w:rPr>
      </w:pPr>
      <w:r w:rsidRPr="002532CE">
        <w:rPr>
          <w:b/>
          <w:szCs w:val="24"/>
        </w:rPr>
        <w:t xml:space="preserve">Reallocation of projects:  </w:t>
      </w:r>
    </w:p>
    <w:p w:rsidR="00723640" w:rsidRDefault="00B71CB0" w:rsidP="00723640">
      <w:pPr>
        <w:pStyle w:val="ListParagraph"/>
        <w:numPr>
          <w:ilvl w:val="0"/>
          <w:numId w:val="6"/>
        </w:numPr>
        <w:spacing w:before="120" w:after="120"/>
        <w:rPr>
          <w:szCs w:val="24"/>
        </w:rPr>
      </w:pPr>
      <w:r w:rsidRPr="00723640">
        <w:rPr>
          <w:szCs w:val="24"/>
        </w:rPr>
        <w:t xml:space="preserve">HUD’s priorities include having the </w:t>
      </w:r>
      <w:r w:rsidR="00A170D0" w:rsidRPr="00723640">
        <w:rPr>
          <w:szCs w:val="24"/>
        </w:rPr>
        <w:t>CoC</w:t>
      </w:r>
      <w:r w:rsidRPr="00723640">
        <w:rPr>
          <w:szCs w:val="24"/>
        </w:rPr>
        <w:t>’s</w:t>
      </w:r>
      <w:r w:rsidR="00A170D0" w:rsidRPr="00723640">
        <w:rPr>
          <w:szCs w:val="24"/>
        </w:rPr>
        <w:t xml:space="preserve"> to reallocate Supportive Services Only (SSO) and Transitional Housing (TH) projects to create new Permanent Housing (PH) projects.</w:t>
      </w:r>
      <w:r w:rsidRPr="00723640">
        <w:rPr>
          <w:szCs w:val="24"/>
        </w:rPr>
        <w:t xml:space="preserve">  </w:t>
      </w:r>
    </w:p>
    <w:p w:rsidR="00723640" w:rsidRDefault="00B71CB0" w:rsidP="00723640">
      <w:pPr>
        <w:pStyle w:val="ListParagraph"/>
        <w:numPr>
          <w:ilvl w:val="0"/>
          <w:numId w:val="6"/>
        </w:numPr>
        <w:spacing w:before="120" w:after="120"/>
        <w:rPr>
          <w:szCs w:val="24"/>
        </w:rPr>
      </w:pPr>
      <w:r w:rsidRPr="00723640">
        <w:rPr>
          <w:szCs w:val="24"/>
        </w:rPr>
        <w:t>Reallocation involved giving up a renewal grant and</w:t>
      </w:r>
      <w:r w:rsidR="002532CE">
        <w:rPr>
          <w:szCs w:val="24"/>
        </w:rPr>
        <w:t xml:space="preserve"> </w:t>
      </w:r>
      <w:r w:rsidRPr="00723640">
        <w:rPr>
          <w:szCs w:val="24"/>
        </w:rPr>
        <w:t xml:space="preserve">applying for a new grant. It happens only during the CoC competition and reallocation is the only way to fund a new project.  </w:t>
      </w:r>
    </w:p>
    <w:p w:rsidR="00A170D0" w:rsidRPr="00723640" w:rsidRDefault="00B71CB0" w:rsidP="00723640">
      <w:pPr>
        <w:pStyle w:val="ListParagraph"/>
        <w:numPr>
          <w:ilvl w:val="0"/>
          <w:numId w:val="6"/>
        </w:numPr>
        <w:spacing w:before="120" w:after="120"/>
        <w:rPr>
          <w:szCs w:val="24"/>
        </w:rPr>
      </w:pPr>
      <w:r w:rsidRPr="00723640">
        <w:rPr>
          <w:szCs w:val="24"/>
        </w:rPr>
        <w:t>You can only reallocate to a new PS</w:t>
      </w:r>
      <w:r w:rsidR="00723640">
        <w:rPr>
          <w:szCs w:val="24"/>
        </w:rPr>
        <w:t>H</w:t>
      </w:r>
      <w:r w:rsidRPr="00723640">
        <w:rPr>
          <w:szCs w:val="24"/>
        </w:rPr>
        <w:t xml:space="preserve"> chronic homeless project or a RRH project for families with children.</w:t>
      </w:r>
    </w:p>
    <w:p w:rsidR="00B71CB0" w:rsidRPr="00B71CB0" w:rsidRDefault="00B71CB0" w:rsidP="00723640">
      <w:pPr>
        <w:spacing w:before="120" w:after="120" w:line="240" w:lineRule="auto"/>
        <w:contextualSpacing/>
        <w:rPr>
          <w:sz w:val="24"/>
          <w:szCs w:val="24"/>
        </w:rPr>
      </w:pPr>
    </w:p>
    <w:p w:rsidR="00E31A34" w:rsidRPr="002532CE" w:rsidRDefault="00E31A34" w:rsidP="00723640">
      <w:pPr>
        <w:pStyle w:val="ListParagraph"/>
        <w:numPr>
          <w:ilvl w:val="0"/>
          <w:numId w:val="5"/>
        </w:numPr>
        <w:jc w:val="both"/>
        <w:rPr>
          <w:b/>
          <w:szCs w:val="24"/>
        </w:rPr>
      </w:pPr>
      <w:r w:rsidRPr="002532CE">
        <w:rPr>
          <w:b/>
          <w:szCs w:val="24"/>
        </w:rPr>
        <w:t>Planning Grant</w:t>
      </w:r>
    </w:p>
    <w:p w:rsidR="00E31A34" w:rsidRPr="00723640" w:rsidRDefault="00E31A34" w:rsidP="00723640">
      <w:pPr>
        <w:pStyle w:val="ListParagraph"/>
        <w:numPr>
          <w:ilvl w:val="0"/>
          <w:numId w:val="7"/>
        </w:numPr>
        <w:jc w:val="both"/>
        <w:rPr>
          <w:szCs w:val="24"/>
        </w:rPr>
      </w:pPr>
      <w:r w:rsidRPr="00723640">
        <w:rPr>
          <w:szCs w:val="24"/>
        </w:rPr>
        <w:t xml:space="preserve">The grant agreement for the 2013 Planning grant has been executed and the scope of the work needs to occur in 2014. </w:t>
      </w:r>
    </w:p>
    <w:p w:rsidR="004954DF" w:rsidRPr="00723640" w:rsidRDefault="004954DF" w:rsidP="00723640">
      <w:pPr>
        <w:pStyle w:val="ListParagraph"/>
        <w:numPr>
          <w:ilvl w:val="0"/>
          <w:numId w:val="7"/>
        </w:numPr>
        <w:jc w:val="both"/>
        <w:rPr>
          <w:rFonts w:ascii="Calibri" w:hAnsi="Calibri"/>
          <w:szCs w:val="24"/>
        </w:rPr>
      </w:pPr>
      <w:r w:rsidRPr="00723640">
        <w:rPr>
          <w:rFonts w:ascii="Calibri" w:hAnsi="Calibri"/>
          <w:szCs w:val="24"/>
        </w:rPr>
        <w:t>Both of the CoC’s will work together to:</w:t>
      </w:r>
    </w:p>
    <w:p w:rsidR="004954DF" w:rsidRPr="0066379C" w:rsidRDefault="004954DF" w:rsidP="004954DF">
      <w:pPr>
        <w:pStyle w:val="ListParagraph"/>
        <w:numPr>
          <w:ilvl w:val="0"/>
          <w:numId w:val="2"/>
        </w:numPr>
        <w:jc w:val="both"/>
        <w:rPr>
          <w:rFonts w:ascii="Calibri" w:hAnsi="Calibri"/>
          <w:sz w:val="22"/>
        </w:rPr>
      </w:pPr>
      <w:r w:rsidRPr="0066379C">
        <w:rPr>
          <w:rFonts w:ascii="Calibri" w:hAnsi="Calibri"/>
          <w:sz w:val="22"/>
        </w:rPr>
        <w:t>Explore and develop a single coordinated statewide assessment process;</w:t>
      </w:r>
    </w:p>
    <w:p w:rsidR="004954DF" w:rsidRPr="0066379C" w:rsidRDefault="004954DF" w:rsidP="004954DF">
      <w:pPr>
        <w:pStyle w:val="ListParagraph"/>
        <w:numPr>
          <w:ilvl w:val="0"/>
          <w:numId w:val="2"/>
        </w:numPr>
        <w:jc w:val="both"/>
        <w:rPr>
          <w:rFonts w:ascii="Calibri" w:hAnsi="Calibri"/>
          <w:sz w:val="22"/>
        </w:rPr>
      </w:pPr>
      <w:r w:rsidRPr="0066379C">
        <w:rPr>
          <w:rFonts w:ascii="Calibri" w:hAnsi="Calibri"/>
          <w:sz w:val="22"/>
        </w:rPr>
        <w:t>Strengthen the process and procedures used to review and reallocate current CoC funded projects;</w:t>
      </w:r>
      <w:r>
        <w:rPr>
          <w:rFonts w:ascii="Calibri" w:hAnsi="Calibri"/>
          <w:sz w:val="22"/>
        </w:rPr>
        <w:t xml:space="preserve"> and</w:t>
      </w:r>
    </w:p>
    <w:p w:rsidR="004954DF" w:rsidRPr="0066379C" w:rsidRDefault="004954DF" w:rsidP="004954DF">
      <w:pPr>
        <w:pStyle w:val="ListParagraph"/>
        <w:numPr>
          <w:ilvl w:val="0"/>
          <w:numId w:val="2"/>
        </w:numPr>
        <w:jc w:val="both"/>
        <w:rPr>
          <w:rFonts w:ascii="Calibri" w:hAnsi="Calibri"/>
          <w:sz w:val="22"/>
        </w:rPr>
      </w:pPr>
      <w:r w:rsidRPr="0066379C">
        <w:rPr>
          <w:rFonts w:ascii="Calibri" w:hAnsi="Calibri"/>
          <w:sz w:val="22"/>
        </w:rPr>
        <w:t>Strengthen the process and procedures for ensuring CoC project compliance with HEARTH Act and HUD requirements</w:t>
      </w:r>
    </w:p>
    <w:p w:rsidR="004954DF" w:rsidRPr="00B71CB0" w:rsidRDefault="004954DF" w:rsidP="00B71CB0">
      <w:pPr>
        <w:spacing w:line="240" w:lineRule="auto"/>
        <w:contextualSpacing/>
        <w:jc w:val="both"/>
        <w:rPr>
          <w:szCs w:val="24"/>
        </w:rPr>
      </w:pPr>
    </w:p>
    <w:p w:rsidR="00E31A34" w:rsidRPr="002532CE" w:rsidRDefault="00E31A34" w:rsidP="00723640">
      <w:pPr>
        <w:pStyle w:val="ListParagraph"/>
        <w:numPr>
          <w:ilvl w:val="0"/>
          <w:numId w:val="5"/>
        </w:numPr>
        <w:jc w:val="both"/>
        <w:rPr>
          <w:b/>
          <w:sz w:val="22"/>
        </w:rPr>
      </w:pPr>
      <w:r w:rsidRPr="002532CE">
        <w:rPr>
          <w:b/>
          <w:sz w:val="22"/>
        </w:rPr>
        <w:t>HMIS Governance</w:t>
      </w:r>
      <w:r w:rsidR="00723640" w:rsidRPr="002532CE">
        <w:rPr>
          <w:b/>
          <w:sz w:val="22"/>
        </w:rPr>
        <w:t>:</w:t>
      </w:r>
    </w:p>
    <w:p w:rsidR="00723640" w:rsidRPr="00723640" w:rsidRDefault="004954DF" w:rsidP="00723640">
      <w:pPr>
        <w:pStyle w:val="ListParagraph"/>
        <w:numPr>
          <w:ilvl w:val="0"/>
          <w:numId w:val="9"/>
        </w:numPr>
        <w:jc w:val="both"/>
      </w:pPr>
      <w:r w:rsidRPr="00723640">
        <w:rPr>
          <w:rStyle w:val="Strong"/>
          <w:rFonts w:eastAsia="Times New Roman" w:cs="Arial"/>
          <w:b w:val="0"/>
          <w:sz w:val="22"/>
        </w:rPr>
        <w:t xml:space="preserve">On May 1,2014 </w:t>
      </w:r>
      <w:r w:rsidRPr="00723640">
        <w:rPr>
          <w:rFonts w:eastAsia="Times New Roman" w:cs="Arial"/>
        </w:rPr>
        <w:t>Federal Partners Release Final 2014 HMIS Data Standards</w:t>
      </w:r>
      <w:r w:rsidR="00723640" w:rsidRPr="00723640">
        <w:rPr>
          <w:rFonts w:eastAsia="Times New Roman" w:cs="Arial"/>
        </w:rPr>
        <w:t xml:space="preserve">. </w:t>
      </w:r>
    </w:p>
    <w:p w:rsidR="00723640" w:rsidRPr="00723640" w:rsidRDefault="004954DF" w:rsidP="00723640">
      <w:pPr>
        <w:pStyle w:val="ListParagraph"/>
        <w:numPr>
          <w:ilvl w:val="0"/>
          <w:numId w:val="9"/>
        </w:numPr>
        <w:jc w:val="both"/>
        <w:rPr>
          <w:rStyle w:val="Strong"/>
          <w:b w:val="0"/>
          <w:bCs w:val="0"/>
        </w:rPr>
      </w:pPr>
      <w:r w:rsidRPr="00723640">
        <w:rPr>
          <w:rStyle w:val="Strong"/>
          <w:rFonts w:eastAsia="Times New Roman" w:cs="Arial"/>
          <w:b w:val="0"/>
          <w:sz w:val="22"/>
        </w:rPr>
        <w:t>The effective date of the 2014 HMIS Data Standards is October 1, 2014. This means that all HMIS solutions must be programmed to collect data based on the 2014 Standards by that date.</w:t>
      </w:r>
      <w:r w:rsidR="00723640" w:rsidRPr="00723640">
        <w:rPr>
          <w:rStyle w:val="Strong"/>
          <w:rFonts w:eastAsia="Times New Roman" w:cs="Arial"/>
          <w:b w:val="0"/>
          <w:sz w:val="22"/>
        </w:rPr>
        <w:t xml:space="preserve"> </w:t>
      </w:r>
    </w:p>
    <w:p w:rsidR="00723640" w:rsidRPr="00723640" w:rsidRDefault="00723640" w:rsidP="00723640">
      <w:pPr>
        <w:pStyle w:val="ListParagraph"/>
        <w:numPr>
          <w:ilvl w:val="0"/>
          <w:numId w:val="9"/>
        </w:numPr>
        <w:jc w:val="both"/>
        <w:rPr>
          <w:rStyle w:val="Strong"/>
          <w:b w:val="0"/>
          <w:bCs w:val="0"/>
        </w:rPr>
      </w:pPr>
      <w:r w:rsidRPr="00723640">
        <w:rPr>
          <w:rStyle w:val="Strong"/>
          <w:rFonts w:eastAsia="Times New Roman" w:cs="Arial"/>
          <w:b w:val="0"/>
          <w:sz w:val="22"/>
        </w:rPr>
        <w:t xml:space="preserve">While both, the MCoC and </w:t>
      </w:r>
      <w:proofErr w:type="spellStart"/>
      <w:r w:rsidRPr="00723640">
        <w:rPr>
          <w:rStyle w:val="Strong"/>
          <w:rFonts w:eastAsia="Times New Roman" w:cs="Arial"/>
          <w:b w:val="0"/>
          <w:sz w:val="22"/>
        </w:rPr>
        <w:t>PCoC</w:t>
      </w:r>
      <w:proofErr w:type="spellEnd"/>
      <w:r w:rsidRPr="00723640">
        <w:rPr>
          <w:rStyle w:val="Strong"/>
          <w:rFonts w:eastAsia="Times New Roman" w:cs="Arial"/>
          <w:b w:val="0"/>
          <w:sz w:val="22"/>
        </w:rPr>
        <w:t xml:space="preserve"> have voted and approved the joint HMIS governance document, there is still work to be done on the data standards.</w:t>
      </w:r>
    </w:p>
    <w:p w:rsidR="00723640" w:rsidRDefault="00723640" w:rsidP="00723640">
      <w:pPr>
        <w:ind w:left="360"/>
        <w:jc w:val="both"/>
        <w:rPr>
          <w:rFonts w:eastAsia="Times New Roman" w:cs="Arial"/>
        </w:rPr>
      </w:pPr>
    </w:p>
    <w:p w:rsidR="00723640" w:rsidRPr="002532CE" w:rsidRDefault="00723640" w:rsidP="00723640">
      <w:pPr>
        <w:pStyle w:val="ListParagraph"/>
        <w:numPr>
          <w:ilvl w:val="0"/>
          <w:numId w:val="5"/>
        </w:numPr>
        <w:jc w:val="both"/>
        <w:rPr>
          <w:b/>
        </w:rPr>
      </w:pPr>
      <w:r w:rsidRPr="002532CE">
        <w:rPr>
          <w:rFonts w:eastAsia="Times New Roman" w:cs="Arial"/>
          <w:b/>
        </w:rPr>
        <w:t>Performance Measures with HUD Technical Assistance:</w:t>
      </w:r>
    </w:p>
    <w:p w:rsidR="00723640" w:rsidRDefault="00723640" w:rsidP="00723640">
      <w:pPr>
        <w:pStyle w:val="ListParagraph"/>
        <w:numPr>
          <w:ilvl w:val="0"/>
          <w:numId w:val="11"/>
        </w:numPr>
        <w:jc w:val="both"/>
        <w:rPr>
          <w:rFonts w:ascii="Calibri" w:hAnsi="Calibri"/>
          <w:szCs w:val="24"/>
        </w:rPr>
      </w:pPr>
      <w:r>
        <w:rPr>
          <w:rFonts w:ascii="Calibri" w:hAnsi="Calibri"/>
          <w:szCs w:val="24"/>
        </w:rPr>
        <w:t>The Performance Measures subcommittee has r</w:t>
      </w:r>
      <w:r w:rsidRPr="00723640">
        <w:rPr>
          <w:rFonts w:ascii="Calibri" w:hAnsi="Calibri"/>
          <w:szCs w:val="24"/>
        </w:rPr>
        <w:t>econvene</w:t>
      </w:r>
      <w:r>
        <w:rPr>
          <w:rFonts w:ascii="Calibri" w:hAnsi="Calibri"/>
          <w:szCs w:val="24"/>
        </w:rPr>
        <w:t>d in April</w:t>
      </w:r>
      <w:r w:rsidRPr="00723640">
        <w:rPr>
          <w:rFonts w:ascii="Calibri" w:hAnsi="Calibri"/>
          <w:szCs w:val="24"/>
        </w:rPr>
        <w:t xml:space="preserve"> and </w:t>
      </w:r>
      <w:r>
        <w:rPr>
          <w:rFonts w:ascii="Calibri" w:hAnsi="Calibri"/>
          <w:szCs w:val="24"/>
        </w:rPr>
        <w:t xml:space="preserve">is </w:t>
      </w:r>
      <w:r w:rsidRPr="00723640">
        <w:rPr>
          <w:rFonts w:ascii="Calibri" w:hAnsi="Calibri"/>
          <w:szCs w:val="24"/>
        </w:rPr>
        <w:t>continu</w:t>
      </w:r>
      <w:r>
        <w:rPr>
          <w:rFonts w:ascii="Calibri" w:hAnsi="Calibri"/>
          <w:szCs w:val="24"/>
        </w:rPr>
        <w:t>ing</w:t>
      </w:r>
      <w:r w:rsidRPr="00723640">
        <w:rPr>
          <w:rFonts w:ascii="Calibri" w:hAnsi="Calibri"/>
          <w:szCs w:val="24"/>
        </w:rPr>
        <w:t xml:space="preserve"> the work that was begun on this as part of this work ties into the planning grant activities i.e. system mapping for coordinated assessment. </w:t>
      </w:r>
    </w:p>
    <w:p w:rsidR="00A170D0" w:rsidRPr="00723640" w:rsidRDefault="00723640" w:rsidP="00723640">
      <w:pPr>
        <w:pStyle w:val="ListParagraph"/>
        <w:numPr>
          <w:ilvl w:val="0"/>
          <w:numId w:val="11"/>
        </w:numPr>
        <w:jc w:val="both"/>
        <w:rPr>
          <w:b/>
          <w:szCs w:val="24"/>
        </w:rPr>
      </w:pPr>
      <w:r w:rsidRPr="00723640">
        <w:rPr>
          <w:rFonts w:ascii="Calibri" w:hAnsi="Calibri"/>
          <w:szCs w:val="24"/>
        </w:rPr>
        <w:t>There will be several more meetings to continue working on this process.</w:t>
      </w:r>
    </w:p>
    <w:sectPr w:rsidR="00A170D0" w:rsidRPr="00723640" w:rsidSect="00961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4F2"/>
    <w:multiLevelType w:val="hybridMultilevel"/>
    <w:tmpl w:val="4714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D5301"/>
    <w:multiLevelType w:val="hybridMultilevel"/>
    <w:tmpl w:val="09509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DD6F53"/>
    <w:multiLevelType w:val="hybridMultilevel"/>
    <w:tmpl w:val="F63E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31F4A"/>
    <w:multiLevelType w:val="hybridMultilevel"/>
    <w:tmpl w:val="0D8E3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01971"/>
    <w:multiLevelType w:val="hybridMultilevel"/>
    <w:tmpl w:val="70BAE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4D361E"/>
    <w:multiLevelType w:val="hybridMultilevel"/>
    <w:tmpl w:val="B510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700A28"/>
    <w:multiLevelType w:val="hybridMultilevel"/>
    <w:tmpl w:val="B5168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063878"/>
    <w:multiLevelType w:val="hybridMultilevel"/>
    <w:tmpl w:val="25A2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014E40"/>
    <w:multiLevelType w:val="hybridMultilevel"/>
    <w:tmpl w:val="B2BC8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617A49"/>
    <w:multiLevelType w:val="hybridMultilevel"/>
    <w:tmpl w:val="0BF89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905A02"/>
    <w:multiLevelType w:val="hybridMultilevel"/>
    <w:tmpl w:val="B0FE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2"/>
  </w:num>
  <w:num w:numId="6">
    <w:abstractNumId w:val="7"/>
  </w:num>
  <w:num w:numId="7">
    <w:abstractNumId w:val="5"/>
  </w:num>
  <w:num w:numId="8">
    <w:abstractNumId w:val="3"/>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70D0"/>
    <w:rsid w:val="002532CE"/>
    <w:rsid w:val="004954DF"/>
    <w:rsid w:val="005279B9"/>
    <w:rsid w:val="005D1D17"/>
    <w:rsid w:val="00723640"/>
    <w:rsid w:val="00961FA7"/>
    <w:rsid w:val="00A170D0"/>
    <w:rsid w:val="00B71CB0"/>
    <w:rsid w:val="00E31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A34"/>
    <w:pPr>
      <w:spacing w:after="0" w:line="240" w:lineRule="auto"/>
      <w:ind w:left="720"/>
      <w:contextualSpacing/>
    </w:pPr>
    <w:rPr>
      <w:sz w:val="24"/>
    </w:rPr>
  </w:style>
  <w:style w:type="character" w:styleId="Strong">
    <w:name w:val="Strong"/>
    <w:basedOn w:val="DefaultParagraphFont"/>
    <w:uiPriority w:val="22"/>
    <w:qFormat/>
    <w:rsid w:val="004954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ppaladino</dc:creator>
  <cp:keywords/>
  <dc:description/>
  <cp:lastModifiedBy>ppaladino</cp:lastModifiedBy>
  <cp:revision>3</cp:revision>
  <dcterms:created xsi:type="dcterms:W3CDTF">2014-05-05T15:17:00Z</dcterms:created>
  <dcterms:modified xsi:type="dcterms:W3CDTF">2014-05-05T15:58:00Z</dcterms:modified>
</cp:coreProperties>
</file>